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B9EC61">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581DC61C">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015F5EFF">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6F3E92A3">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1E4626C7">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554EBD41">
      <w:pPr>
        <w:keepNext w:val="0"/>
        <w:keepLines w:val="0"/>
        <w:pageBreakBefore w:val="0"/>
        <w:wordWrap/>
        <w:topLinePunct w:val="0"/>
        <w:bidi w:val="0"/>
        <w:jc w:val="center"/>
        <w:outlineLvl w:val="9"/>
        <w:rPr>
          <w:rFonts w:hint="eastAsia" w:ascii="宋体" w:hAnsi="宋体" w:cs="宋体"/>
          <w:kern w:val="0"/>
          <w:sz w:val="24"/>
          <w:highlight w:val="none"/>
          <w:lang w:bidi="ar"/>
        </w:rPr>
      </w:pPr>
      <w:r>
        <w:rPr>
          <w:rFonts w:hint="eastAsia" w:ascii="宋体" w:hAnsi="宋体" w:cs="宋体"/>
          <w:kern w:val="0"/>
          <w:sz w:val="24"/>
          <w:highlight w:val="none"/>
          <w:lang w:bidi="ar"/>
        </w:rPr>
        <w:drawing>
          <wp:inline distT="0" distB="0" distL="114300" distR="114300">
            <wp:extent cx="1395095" cy="1395095"/>
            <wp:effectExtent l="0" t="0" r="14605" b="14605"/>
            <wp:docPr id="2" name="图片 1" descr="C:/Users/Administrator/Desktop/学校logo.jpg学校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C:/Users/Administrator/Desktop/学校logo.jpg学校logo"/>
                    <pic:cNvPicPr>
                      <a:picLocks noChangeAspect="1"/>
                    </pic:cNvPicPr>
                  </pic:nvPicPr>
                  <pic:blipFill>
                    <a:blip r:embed="rId8"/>
                    <a:stretch>
                      <a:fillRect/>
                    </a:stretch>
                  </pic:blipFill>
                  <pic:spPr>
                    <a:xfrm>
                      <a:off x="0" y="0"/>
                      <a:ext cx="1395095" cy="1395095"/>
                    </a:xfrm>
                    <a:prstGeom prst="rect">
                      <a:avLst/>
                    </a:prstGeom>
                    <a:noFill/>
                    <a:ln>
                      <a:noFill/>
                    </a:ln>
                  </pic:spPr>
                </pic:pic>
              </a:graphicData>
            </a:graphic>
          </wp:inline>
        </w:drawing>
      </w:r>
    </w:p>
    <w:p w14:paraId="3AE37050">
      <w:pPr>
        <w:keepNext w:val="0"/>
        <w:keepLines w:val="0"/>
        <w:pageBreakBefore w:val="0"/>
        <w:wordWrap/>
        <w:topLinePunct w:val="0"/>
        <w:bidi w:val="0"/>
        <w:jc w:val="center"/>
        <w:outlineLvl w:val="9"/>
        <w:rPr>
          <w:rFonts w:hint="eastAsia" w:ascii="宋体" w:hAnsi="宋体" w:cs="宋体"/>
          <w:kern w:val="0"/>
          <w:sz w:val="24"/>
          <w:highlight w:val="none"/>
          <w:lang w:bidi="ar"/>
        </w:rPr>
      </w:pPr>
    </w:p>
    <w:p w14:paraId="651D327C">
      <w:pPr>
        <w:keepNext w:val="0"/>
        <w:keepLines w:val="0"/>
        <w:pageBreakBefore w:val="0"/>
        <w:wordWrap/>
        <w:topLinePunct w:val="0"/>
        <w:bidi w:val="0"/>
        <w:jc w:val="center"/>
        <w:outlineLvl w:val="9"/>
        <w:rPr>
          <w:rFonts w:hint="eastAsia" w:ascii="楷体" w:hAnsi="楷体" w:eastAsia="楷体"/>
          <w:sz w:val="52"/>
          <w:szCs w:val="52"/>
          <w:highlight w:val="none"/>
          <w:lang w:eastAsia="zh-CN"/>
        </w:rPr>
      </w:pPr>
      <w:r>
        <w:rPr>
          <w:rFonts w:hint="eastAsia" w:ascii="楷体" w:hAnsi="楷体" w:eastAsia="楷体"/>
          <w:sz w:val="52"/>
          <w:szCs w:val="52"/>
          <w:highlight w:val="none"/>
        </w:rPr>
        <w:t>运城市龙翔</w:t>
      </w:r>
      <w:r>
        <w:rPr>
          <w:rFonts w:hint="eastAsia" w:ascii="楷体" w:hAnsi="楷体" w:eastAsia="楷体"/>
          <w:sz w:val="52"/>
          <w:szCs w:val="52"/>
          <w:highlight w:val="none"/>
          <w:lang w:eastAsia="zh-CN"/>
        </w:rPr>
        <w:t>职业高中</w:t>
      </w:r>
    </w:p>
    <w:p w14:paraId="31B3D724">
      <w:pPr>
        <w:keepNext w:val="0"/>
        <w:keepLines w:val="0"/>
        <w:pageBreakBefore w:val="0"/>
        <w:wordWrap/>
        <w:topLinePunct w:val="0"/>
        <w:bidi w:val="0"/>
        <w:spacing w:line="252" w:lineRule="auto"/>
        <w:outlineLvl w:val="9"/>
        <w:rPr>
          <w:rFonts w:ascii="Arial"/>
          <w:sz w:val="21"/>
          <w:highlight w:val="none"/>
        </w:rPr>
      </w:pPr>
    </w:p>
    <w:p w14:paraId="095EAD80">
      <w:pPr>
        <w:keepNext w:val="0"/>
        <w:keepLines w:val="0"/>
        <w:pageBreakBefore w:val="0"/>
        <w:wordWrap/>
        <w:topLinePunct w:val="0"/>
        <w:bidi w:val="0"/>
        <w:spacing w:before="140" w:line="222" w:lineRule="auto"/>
        <w:jc w:val="center"/>
        <w:outlineLvl w:val="9"/>
        <w:rPr>
          <w:rFonts w:hint="eastAsia" w:ascii="黑体" w:hAnsi="黑体" w:eastAsia="黑体" w:cs="黑体"/>
          <w:b w:val="0"/>
          <w:bCs w:val="0"/>
          <w:sz w:val="43"/>
          <w:szCs w:val="43"/>
          <w:highlight w:val="none"/>
        </w:rPr>
      </w:pPr>
      <w:r>
        <w:rPr>
          <w:rFonts w:hint="eastAsia" w:ascii="黑体" w:hAnsi="黑体" w:eastAsia="黑体" w:cs="黑体"/>
          <w:b w:val="0"/>
          <w:bCs w:val="0"/>
          <w:spacing w:val="5"/>
          <w:sz w:val="43"/>
          <w:szCs w:val="43"/>
          <w:highlight w:val="none"/>
          <w:lang w:eastAsia="zh-CN"/>
        </w:rPr>
        <w:t>新能源汽车运用与维修</w:t>
      </w:r>
      <w:r>
        <w:rPr>
          <w:rFonts w:hint="eastAsia" w:ascii="黑体" w:hAnsi="黑体" w:eastAsia="黑体" w:cs="黑体"/>
          <w:b w:val="0"/>
          <w:bCs w:val="0"/>
          <w:spacing w:val="5"/>
          <w:sz w:val="43"/>
          <w:szCs w:val="43"/>
          <w:highlight w:val="none"/>
        </w:rPr>
        <w:t>专业人才培养方案</w:t>
      </w:r>
    </w:p>
    <w:p w14:paraId="054684E0">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1A43B406">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249F8DC2">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1AA9F32F">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693B500">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0274ADD">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3AD0D7F1">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55DC8549">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9650458">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3F56C7E8">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A3221F2">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4B3C4210">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59D2864A">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7354EFD1">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4878CD92">
      <w:pPr>
        <w:keepNext w:val="0"/>
        <w:keepLines w:val="0"/>
        <w:pageBreakBefore w:val="0"/>
        <w:wordWrap/>
        <w:topLinePunct w:val="0"/>
        <w:bidi w:val="0"/>
        <w:spacing w:line="222" w:lineRule="auto"/>
        <w:outlineLvl w:val="9"/>
        <w:rPr>
          <w:rFonts w:hint="eastAsia" w:ascii="黑体" w:hAnsi="黑体" w:eastAsia="黑体" w:cs="黑体"/>
          <w:b w:val="0"/>
          <w:bCs w:val="0"/>
          <w:sz w:val="43"/>
          <w:szCs w:val="43"/>
          <w:highlight w:val="none"/>
        </w:rPr>
      </w:pPr>
    </w:p>
    <w:p w14:paraId="4BB267BF">
      <w:pPr>
        <w:keepNext w:val="0"/>
        <w:keepLines w:val="0"/>
        <w:pageBreakBefore w:val="0"/>
        <w:wordWrap/>
        <w:topLinePunct w:val="0"/>
        <w:bidi w:val="0"/>
        <w:spacing w:line="222" w:lineRule="auto"/>
        <w:jc w:val="center"/>
        <w:outlineLvl w:val="9"/>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t>2025年6月（修订）</w:t>
      </w:r>
    </w:p>
    <w:p w14:paraId="1151625F">
      <w:pP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br w:type="page"/>
      </w:r>
    </w:p>
    <w:p w14:paraId="4C64DFC0">
      <w:pPr>
        <w:spacing w:line="360" w:lineRule="auto"/>
        <w:ind w:left="0" w:leftChars="0" w:firstLine="0" w:firstLineChars="0"/>
        <w:jc w:val="center"/>
        <w:outlineLvl w:val="9"/>
        <w:rPr>
          <w:rFonts w:hint="eastAsia" w:ascii="仿宋" w:hAnsi="仿宋" w:eastAsia="仿宋" w:cs="仿宋"/>
          <w:b w:val="0"/>
          <w:bCs w:val="0"/>
          <w:kern w:val="2"/>
          <w:sz w:val="40"/>
          <w:szCs w:val="40"/>
          <w:lang w:val="en-US" w:eastAsia="zh-CN" w:bidi="ar-SA"/>
        </w:rPr>
      </w:pPr>
      <w:bookmarkStart w:id="0" w:name="_Toc20855"/>
      <w:r>
        <w:rPr>
          <w:rFonts w:hint="eastAsia" w:ascii="仿宋" w:hAnsi="仿宋" w:eastAsia="仿宋" w:cs="仿宋"/>
          <w:b/>
          <w:bCs/>
          <w:sz w:val="40"/>
          <w:szCs w:val="40"/>
          <w:lang w:val="en-US" w:eastAsia="zh-CN"/>
        </w:rPr>
        <w:t>前   言</w:t>
      </w:r>
      <w:bookmarkEnd w:id="0"/>
    </w:p>
    <w:p w14:paraId="6A80711B">
      <w:pPr>
        <w:spacing w:line="360" w:lineRule="auto"/>
        <w:ind w:left="0" w:leftChars="0" w:firstLine="640" w:firstLineChars="200"/>
        <w:jc w:val="left"/>
        <w:outlineLvl w:val="9"/>
        <w:rPr>
          <w:rFonts w:hint="eastAsia" w:ascii="仿宋" w:hAnsi="仿宋" w:eastAsia="仿宋" w:cs="仿宋"/>
          <w:b w:val="0"/>
          <w:bCs w:val="0"/>
          <w:kern w:val="2"/>
          <w:sz w:val="32"/>
          <w:szCs w:val="32"/>
          <w:lang w:val="en-US" w:eastAsia="zh-CN" w:bidi="ar-SA"/>
        </w:rPr>
      </w:pPr>
      <w:bookmarkStart w:id="1" w:name="_Toc19497"/>
      <w:r>
        <w:rPr>
          <w:rFonts w:hint="eastAsia" w:ascii="仿宋" w:hAnsi="仿宋" w:eastAsia="仿宋" w:cs="仿宋"/>
          <w:b w:val="0"/>
          <w:bCs w:val="0"/>
          <w:kern w:val="2"/>
          <w:sz w:val="32"/>
          <w:szCs w:val="32"/>
          <w:lang w:val="en-US" w:eastAsia="zh-CN" w:bidi="ar-SA"/>
        </w:rPr>
        <w:t>本专业人才培养方案在分析调研行业、企业相关岗位职业能力要求的基础上，依据行业发展趋势、社会需求及学校定位，落实《教育部关于职业院校专业人才培养方案制订与实施工作的指导意见》（教职成司函〔2019〕13号）、《关于组织做好职业院校专业人才培养方案制订与实施工作的通知》 (教职成司函〔2019〕61号)、《教育部关于印发&lt;职业教育专业目录（2021年）&gt;的通知》(教职成〔2021〕2 号)、职业教育专业教学标准（2025年修订)以及本专业实训条件建设标准和岗位实习标准，通过由相关专业骨干教师和职业院校、行业企业等校外专家组成的专业建设指导委员会研究制定本专业人才培养方案，用于指导专业建设和课程教学。</w:t>
      </w:r>
      <w:bookmarkEnd w:id="1"/>
    </w:p>
    <w:p w14:paraId="0E24B916">
      <w:pPr>
        <w:rPr>
          <w:rFonts w:hint="eastAsia" w:ascii="黑体" w:hAnsi="黑体" w:eastAsia="黑体" w:cs="黑体"/>
          <w:b w:val="0"/>
          <w:bCs w:val="0"/>
          <w:sz w:val="28"/>
          <w:szCs w:val="28"/>
          <w:highlight w:val="none"/>
          <w:lang w:val="en-US" w:eastAsia="zh-CN"/>
        </w:rPr>
      </w:pPr>
      <w:r>
        <w:rPr>
          <w:rFonts w:hint="eastAsia" w:ascii="黑体" w:hAnsi="黑体" w:eastAsia="黑体" w:cs="黑体"/>
          <w:b w:val="0"/>
          <w:bCs w:val="0"/>
          <w:sz w:val="28"/>
          <w:szCs w:val="28"/>
          <w:highlight w:val="none"/>
          <w:lang w:val="en-US" w:eastAsia="zh-CN"/>
        </w:rPr>
        <w:br w:type="page"/>
      </w:r>
    </w:p>
    <w:p w14:paraId="1D152517">
      <w:pPr>
        <w:spacing w:line="240" w:lineRule="auto"/>
        <w:jc w:val="center"/>
        <w:rPr>
          <w:rFonts w:hint="eastAsia"/>
          <w:b/>
          <w:bCs/>
          <w:sz w:val="44"/>
          <w:szCs w:val="44"/>
          <w:lang w:val="en-US" w:eastAsia="zh-CN"/>
        </w:rPr>
      </w:pPr>
      <w:r>
        <w:rPr>
          <w:rFonts w:hint="eastAsia" w:ascii="黑体" w:hAnsi="宋体" w:eastAsia="黑体" w:cs="黑体"/>
          <w:i w:val="0"/>
          <w:iCs w:val="0"/>
          <w:color w:val="000000"/>
          <w:kern w:val="0"/>
          <w:sz w:val="44"/>
          <w:szCs w:val="44"/>
          <w:u w:val="none"/>
          <w:lang w:val="en-US" w:eastAsia="zh-CN" w:bidi="ar"/>
        </w:rPr>
        <w:t>运城市龙翔职业高中</w:t>
      </w:r>
      <w:r>
        <w:rPr>
          <w:rFonts w:hint="eastAsia" w:ascii="黑体" w:hAnsi="宋体" w:eastAsia="黑体" w:cs="黑体"/>
          <w:i w:val="0"/>
          <w:iCs w:val="0"/>
          <w:color w:val="000000"/>
          <w:kern w:val="0"/>
          <w:sz w:val="44"/>
          <w:szCs w:val="44"/>
          <w:u w:val="none"/>
          <w:lang w:val="en-US" w:eastAsia="zh-CN" w:bidi="ar"/>
        </w:rPr>
        <w:br w:type="textWrapping"/>
      </w:r>
      <w:r>
        <w:rPr>
          <w:rFonts w:hint="eastAsia" w:ascii="黑体" w:hAnsi="宋体" w:eastAsia="黑体" w:cs="黑体"/>
          <w:i w:val="0"/>
          <w:iCs w:val="0"/>
          <w:color w:val="000000"/>
          <w:kern w:val="0"/>
          <w:sz w:val="44"/>
          <w:szCs w:val="44"/>
          <w:u w:val="none"/>
          <w:lang w:val="en-US" w:eastAsia="zh-CN" w:bidi="ar"/>
        </w:rPr>
        <w:t>人才培养方案变更审批表</w:t>
      </w:r>
    </w:p>
    <w:tbl>
      <w:tblPr>
        <w:tblStyle w:val="12"/>
        <w:tblW w:w="93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52"/>
        <w:gridCol w:w="2460"/>
        <w:gridCol w:w="1980"/>
        <w:gridCol w:w="3066"/>
      </w:tblGrid>
      <w:tr w14:paraId="52765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7C968DB1">
            <w:pPr>
              <w:widowControl w:val="0"/>
              <w:jc w:val="center"/>
              <w:rPr>
                <w:rFonts w:hint="default"/>
                <w:sz w:val="24"/>
                <w:szCs w:val="24"/>
                <w:vertAlign w:val="baseline"/>
                <w:lang w:val="en-US" w:eastAsia="zh-CN"/>
              </w:rPr>
            </w:pPr>
            <w:r>
              <w:rPr>
                <w:rFonts w:hint="eastAsia"/>
                <w:sz w:val="24"/>
                <w:szCs w:val="24"/>
                <w:vertAlign w:val="baseline"/>
                <w:lang w:val="en-US" w:eastAsia="zh-CN"/>
              </w:rPr>
              <w:t>申请单位</w:t>
            </w:r>
          </w:p>
        </w:tc>
        <w:tc>
          <w:tcPr>
            <w:tcW w:w="2460" w:type="dxa"/>
            <w:vAlign w:val="center"/>
          </w:tcPr>
          <w:p w14:paraId="20B54090">
            <w:pPr>
              <w:widowControl w:val="0"/>
              <w:jc w:val="center"/>
              <w:rPr>
                <w:rFonts w:hint="default"/>
                <w:sz w:val="24"/>
                <w:szCs w:val="24"/>
                <w:vertAlign w:val="baseline"/>
                <w:lang w:val="en-US" w:eastAsia="zh-CN"/>
              </w:rPr>
            </w:pPr>
            <w:r>
              <w:rPr>
                <w:rFonts w:hint="eastAsia"/>
                <w:sz w:val="24"/>
                <w:szCs w:val="24"/>
                <w:vertAlign w:val="baseline"/>
                <w:lang w:val="en-US" w:eastAsia="zh-CN"/>
              </w:rPr>
              <w:t>教务处</w:t>
            </w:r>
          </w:p>
        </w:tc>
        <w:tc>
          <w:tcPr>
            <w:tcW w:w="1980" w:type="dxa"/>
            <w:vAlign w:val="center"/>
          </w:tcPr>
          <w:p w14:paraId="0D2D219D">
            <w:pPr>
              <w:widowControl w:val="0"/>
              <w:jc w:val="center"/>
              <w:rPr>
                <w:rFonts w:hint="default"/>
                <w:sz w:val="24"/>
                <w:szCs w:val="24"/>
                <w:vertAlign w:val="baseline"/>
                <w:lang w:val="en-US" w:eastAsia="zh-CN"/>
              </w:rPr>
            </w:pPr>
            <w:r>
              <w:rPr>
                <w:rFonts w:hint="default"/>
                <w:sz w:val="24"/>
                <w:szCs w:val="24"/>
                <w:vertAlign w:val="baseline"/>
                <w:lang w:val="en-US" w:eastAsia="zh-CN"/>
              </w:rPr>
              <w:t>适用专业</w:t>
            </w:r>
          </w:p>
        </w:tc>
        <w:tc>
          <w:tcPr>
            <w:tcW w:w="3066" w:type="dxa"/>
            <w:vAlign w:val="center"/>
          </w:tcPr>
          <w:p w14:paraId="525F041A">
            <w:pPr>
              <w:widowControl w:val="0"/>
              <w:jc w:val="center"/>
              <w:rPr>
                <w:rFonts w:hint="default"/>
                <w:sz w:val="24"/>
                <w:szCs w:val="24"/>
                <w:vertAlign w:val="baseline"/>
                <w:lang w:val="en-US" w:eastAsia="zh-CN"/>
              </w:rPr>
            </w:pPr>
            <w:r>
              <w:rPr>
                <w:rFonts w:hint="eastAsia"/>
                <w:sz w:val="24"/>
                <w:szCs w:val="24"/>
                <w:vertAlign w:val="baseline"/>
                <w:lang w:val="en-US" w:eastAsia="zh-CN"/>
              </w:rPr>
              <w:t>新能源汽车运用与维修</w:t>
            </w:r>
          </w:p>
        </w:tc>
      </w:tr>
      <w:tr w14:paraId="3D6732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1A242C23">
            <w:pPr>
              <w:widowControl w:val="0"/>
              <w:jc w:val="center"/>
              <w:rPr>
                <w:rFonts w:hint="default"/>
                <w:sz w:val="24"/>
                <w:szCs w:val="24"/>
                <w:vertAlign w:val="baseline"/>
                <w:lang w:val="en-US" w:eastAsia="zh-CN"/>
              </w:rPr>
            </w:pPr>
            <w:r>
              <w:rPr>
                <w:rFonts w:hint="eastAsia"/>
                <w:sz w:val="24"/>
                <w:szCs w:val="24"/>
                <w:vertAlign w:val="baseline"/>
                <w:lang w:val="en-US" w:eastAsia="zh-CN"/>
              </w:rPr>
              <w:t>申请时间</w:t>
            </w:r>
          </w:p>
        </w:tc>
        <w:tc>
          <w:tcPr>
            <w:tcW w:w="2460" w:type="dxa"/>
            <w:vAlign w:val="center"/>
          </w:tcPr>
          <w:p w14:paraId="1C854E0A">
            <w:pPr>
              <w:widowControl w:val="0"/>
              <w:jc w:val="center"/>
              <w:rPr>
                <w:rFonts w:hint="default"/>
                <w:sz w:val="24"/>
                <w:szCs w:val="24"/>
                <w:vertAlign w:val="baseline"/>
                <w:lang w:val="en-US" w:eastAsia="zh-CN"/>
              </w:rPr>
            </w:pPr>
            <w:r>
              <w:rPr>
                <w:rFonts w:hint="default"/>
                <w:sz w:val="24"/>
                <w:szCs w:val="24"/>
                <w:vertAlign w:val="baseline"/>
                <w:lang w:val="en-US" w:eastAsia="zh-CN"/>
              </w:rPr>
              <w:t>202</w:t>
            </w:r>
            <w:r>
              <w:rPr>
                <w:rFonts w:hint="eastAsia"/>
                <w:sz w:val="24"/>
                <w:szCs w:val="24"/>
                <w:vertAlign w:val="baseline"/>
                <w:lang w:val="en-US" w:eastAsia="zh-CN"/>
              </w:rPr>
              <w:t>5</w:t>
            </w:r>
            <w:r>
              <w:rPr>
                <w:rFonts w:hint="default"/>
                <w:sz w:val="24"/>
                <w:szCs w:val="24"/>
                <w:vertAlign w:val="baseline"/>
                <w:lang w:val="en-US" w:eastAsia="zh-CN"/>
              </w:rPr>
              <w:t>年</w:t>
            </w:r>
            <w:r>
              <w:rPr>
                <w:rFonts w:hint="eastAsia"/>
                <w:sz w:val="24"/>
                <w:szCs w:val="24"/>
                <w:vertAlign w:val="baseline"/>
                <w:lang w:val="en-US" w:eastAsia="zh-CN"/>
              </w:rPr>
              <w:t>6</w:t>
            </w:r>
            <w:r>
              <w:rPr>
                <w:rFonts w:hint="default"/>
                <w:sz w:val="24"/>
                <w:szCs w:val="24"/>
                <w:vertAlign w:val="baseline"/>
                <w:lang w:val="en-US" w:eastAsia="zh-CN"/>
              </w:rPr>
              <w:t>月25日</w:t>
            </w:r>
          </w:p>
        </w:tc>
        <w:tc>
          <w:tcPr>
            <w:tcW w:w="1980" w:type="dxa"/>
            <w:vAlign w:val="center"/>
          </w:tcPr>
          <w:p w14:paraId="0CCA39B1">
            <w:pPr>
              <w:widowControl w:val="0"/>
              <w:jc w:val="center"/>
              <w:rPr>
                <w:rFonts w:hint="default"/>
                <w:sz w:val="24"/>
                <w:szCs w:val="24"/>
                <w:vertAlign w:val="baseline"/>
                <w:lang w:val="en-US" w:eastAsia="zh-CN"/>
              </w:rPr>
            </w:pPr>
            <w:r>
              <w:rPr>
                <w:rFonts w:hint="default"/>
                <w:sz w:val="24"/>
                <w:szCs w:val="24"/>
                <w:vertAlign w:val="baseline"/>
                <w:lang w:val="en-US" w:eastAsia="zh-CN"/>
              </w:rPr>
              <w:t>申请执行时间</w:t>
            </w:r>
          </w:p>
        </w:tc>
        <w:tc>
          <w:tcPr>
            <w:tcW w:w="3066" w:type="dxa"/>
            <w:vAlign w:val="center"/>
          </w:tcPr>
          <w:p w14:paraId="6968886B">
            <w:pPr>
              <w:widowControl w:val="0"/>
              <w:jc w:val="center"/>
              <w:rPr>
                <w:rFonts w:hint="default"/>
                <w:sz w:val="24"/>
                <w:szCs w:val="24"/>
                <w:vertAlign w:val="baseline"/>
                <w:lang w:val="en-US" w:eastAsia="zh-CN"/>
              </w:rPr>
            </w:pPr>
            <w:r>
              <w:rPr>
                <w:rFonts w:hint="default"/>
                <w:sz w:val="24"/>
                <w:szCs w:val="24"/>
                <w:vertAlign w:val="baseline"/>
                <w:lang w:val="en-US" w:eastAsia="zh-CN"/>
              </w:rPr>
              <w:t>202</w:t>
            </w:r>
            <w:r>
              <w:rPr>
                <w:rFonts w:hint="eastAsia"/>
                <w:sz w:val="24"/>
                <w:szCs w:val="24"/>
                <w:vertAlign w:val="baseline"/>
                <w:lang w:val="en-US" w:eastAsia="zh-CN"/>
              </w:rPr>
              <w:t>5</w:t>
            </w:r>
            <w:r>
              <w:rPr>
                <w:rFonts w:hint="default"/>
                <w:sz w:val="24"/>
                <w:szCs w:val="24"/>
                <w:vertAlign w:val="baseline"/>
                <w:lang w:val="en-US" w:eastAsia="zh-CN"/>
              </w:rPr>
              <w:t>年9月1日</w:t>
            </w:r>
          </w:p>
        </w:tc>
      </w:tr>
      <w:tr w14:paraId="5C905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1852" w:type="dxa"/>
            <w:vAlign w:val="center"/>
          </w:tcPr>
          <w:p w14:paraId="02430B8A">
            <w:pPr>
              <w:widowControl w:val="0"/>
              <w:jc w:val="center"/>
              <w:rPr>
                <w:rFonts w:hint="default"/>
                <w:sz w:val="24"/>
                <w:szCs w:val="24"/>
                <w:vertAlign w:val="baseline"/>
                <w:lang w:val="en-US" w:eastAsia="zh-CN"/>
              </w:rPr>
            </w:pPr>
            <w:r>
              <w:rPr>
                <w:rFonts w:hint="default"/>
                <w:sz w:val="24"/>
                <w:szCs w:val="24"/>
                <w:vertAlign w:val="baseline"/>
                <w:lang w:val="en-US" w:eastAsia="zh-CN"/>
              </w:rPr>
              <w:t>人</w:t>
            </w:r>
            <w:r>
              <w:rPr>
                <w:rFonts w:hint="eastAsia"/>
                <w:sz w:val="24"/>
                <w:szCs w:val="24"/>
                <w:vertAlign w:val="baseline"/>
                <w:lang w:val="en-US" w:eastAsia="zh-CN"/>
              </w:rPr>
              <w:t>才</w:t>
            </w:r>
            <w:r>
              <w:rPr>
                <w:rFonts w:hint="default"/>
                <w:sz w:val="24"/>
                <w:szCs w:val="24"/>
                <w:vertAlign w:val="baseline"/>
                <w:lang w:val="en-US" w:eastAsia="zh-CN"/>
              </w:rPr>
              <w:t>培</w:t>
            </w:r>
            <w:r>
              <w:rPr>
                <w:rFonts w:hint="eastAsia"/>
                <w:sz w:val="24"/>
                <w:szCs w:val="24"/>
                <w:vertAlign w:val="baseline"/>
                <w:lang w:val="en-US" w:eastAsia="zh-CN"/>
              </w:rPr>
              <w:t>养方案调整内容</w:t>
            </w:r>
          </w:p>
        </w:tc>
        <w:tc>
          <w:tcPr>
            <w:tcW w:w="7506" w:type="dxa"/>
            <w:gridSpan w:val="3"/>
            <w:vAlign w:val="center"/>
          </w:tcPr>
          <w:p w14:paraId="76B0D1F0">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eastAsia"/>
                <w:sz w:val="24"/>
                <w:szCs w:val="24"/>
                <w:vertAlign w:val="baseline"/>
                <w:lang w:val="en-US" w:eastAsia="zh-CN"/>
              </w:rPr>
            </w:pPr>
            <w:r>
              <w:rPr>
                <w:rFonts w:hint="eastAsia"/>
                <w:sz w:val="24"/>
                <w:szCs w:val="24"/>
                <w:vertAlign w:val="baseline"/>
                <w:lang w:val="en-US" w:eastAsia="zh-CN"/>
              </w:rPr>
              <w:t>根据职业教育专业教学标准（2025年修订）要求更新职业面向、培养目标、培养规格</w:t>
            </w:r>
          </w:p>
          <w:p w14:paraId="296AD15A">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根据中等职业学校公共基础课程教学标准要求新增《习近平新时代中国特色社会主义读本》</w:t>
            </w:r>
          </w:p>
          <w:p w14:paraId="53F06261">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新增专业选修课汽车营销、智能新能源汽车</w:t>
            </w:r>
          </w:p>
          <w:p w14:paraId="1DAFAA9D">
            <w:pPr>
              <w:keepNext w:val="0"/>
              <w:keepLines w:val="0"/>
              <w:pageBreakBefore w:val="0"/>
              <w:widowControl w:val="0"/>
              <w:numPr>
                <w:ilvl w:val="0"/>
                <w:numId w:val="1"/>
              </w:numPr>
              <w:kinsoku/>
              <w:wordWrap/>
              <w:overflowPunct/>
              <w:topLinePunct w:val="0"/>
              <w:autoSpaceDE/>
              <w:autoSpaceDN/>
              <w:bidi w:val="0"/>
              <w:adjustRightInd/>
              <w:snapToGrid/>
              <w:spacing w:line="360" w:lineRule="auto"/>
              <w:jc w:val="left"/>
              <w:textAlignment w:val="auto"/>
              <w:rPr>
                <w:rFonts w:hint="default"/>
                <w:sz w:val="24"/>
                <w:szCs w:val="24"/>
                <w:vertAlign w:val="baseline"/>
                <w:lang w:val="en-US" w:eastAsia="zh-CN"/>
              </w:rPr>
            </w:pPr>
            <w:r>
              <w:rPr>
                <w:rFonts w:hint="eastAsia"/>
                <w:sz w:val="24"/>
                <w:szCs w:val="24"/>
                <w:vertAlign w:val="baseline"/>
                <w:lang w:val="en-US" w:eastAsia="zh-CN"/>
              </w:rPr>
              <w:t>将学时安排中，岗位实习由原来的6个月调整为3个月，新增加1+X考证和综合实训</w:t>
            </w:r>
          </w:p>
        </w:tc>
      </w:tr>
      <w:tr w14:paraId="1FD843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852" w:type="dxa"/>
            <w:vAlign w:val="center"/>
          </w:tcPr>
          <w:p w14:paraId="1ADE0379">
            <w:pPr>
              <w:widowControl w:val="0"/>
              <w:jc w:val="center"/>
              <w:rPr>
                <w:rFonts w:hint="default"/>
                <w:sz w:val="24"/>
                <w:szCs w:val="24"/>
                <w:vertAlign w:val="baseline"/>
                <w:lang w:val="en-US" w:eastAsia="zh-CN"/>
              </w:rPr>
            </w:pPr>
            <w:r>
              <w:rPr>
                <w:rFonts w:hint="default"/>
                <w:sz w:val="24"/>
                <w:szCs w:val="24"/>
                <w:vertAlign w:val="baseline"/>
                <w:lang w:val="en-US" w:eastAsia="zh-CN"/>
              </w:rPr>
              <w:t>调整原因</w:t>
            </w:r>
          </w:p>
        </w:tc>
        <w:tc>
          <w:tcPr>
            <w:tcW w:w="7506" w:type="dxa"/>
            <w:gridSpan w:val="3"/>
            <w:vAlign w:val="center"/>
          </w:tcPr>
          <w:p w14:paraId="204DD99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根据《教育部关于职业院校专业人才培养方案制订与实施工作的指导意见》(教职成司函(2019〕13号)</w:t>
            </w:r>
          </w:p>
          <w:p w14:paraId="246BF85A">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《关于组织做好职业院校专业人才培养方案制订与实施工作的通知》(教职成司函(2019〕61号)</w:t>
            </w:r>
          </w:p>
          <w:p w14:paraId="5462549D">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《教育部关于印发&lt;职业教育专业目录(2021年)&gt;的通知》(教职成(20212号)</w:t>
            </w:r>
          </w:p>
          <w:p w14:paraId="00094939">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default"/>
                <w:sz w:val="24"/>
                <w:szCs w:val="24"/>
                <w:vertAlign w:val="baseline"/>
                <w:lang w:val="en-US" w:eastAsia="zh-CN"/>
              </w:rPr>
              <w:t>职业教育专业教学标准（2025年修订758项，中职标准223项，高职专科标准471项，职业本科标准64项）</w:t>
            </w:r>
          </w:p>
          <w:p w14:paraId="2F1BC9D8">
            <w:pPr>
              <w:keepNext w:val="0"/>
              <w:keepLines w:val="0"/>
              <w:pageBreakBefore w:val="0"/>
              <w:widowControl w:val="0"/>
              <w:numPr>
                <w:ilvl w:val="0"/>
                <w:numId w:val="2"/>
              </w:numPr>
              <w:kinsoku/>
              <w:wordWrap/>
              <w:overflowPunct/>
              <w:topLinePunct w:val="0"/>
              <w:autoSpaceDE/>
              <w:autoSpaceDN/>
              <w:bidi w:val="0"/>
              <w:adjustRightInd/>
              <w:snapToGrid/>
              <w:spacing w:line="360" w:lineRule="auto"/>
              <w:jc w:val="both"/>
              <w:textAlignment w:val="auto"/>
              <w:rPr>
                <w:rFonts w:hint="default"/>
                <w:sz w:val="24"/>
                <w:szCs w:val="24"/>
                <w:vertAlign w:val="baseline"/>
                <w:lang w:val="en-US" w:eastAsia="zh-CN"/>
              </w:rPr>
            </w:pPr>
            <w:r>
              <w:rPr>
                <w:rFonts w:hint="eastAsia"/>
                <w:sz w:val="24"/>
                <w:szCs w:val="24"/>
                <w:vertAlign w:val="baseline"/>
                <w:lang w:val="en-US" w:eastAsia="zh-CN"/>
              </w:rPr>
              <w:t>2025年调研结束后，通过分析调研行业、企业相关岗位职业能力要求，依据行业发展趋势、社会需求及学校定位。</w:t>
            </w:r>
          </w:p>
        </w:tc>
      </w:tr>
      <w:tr w14:paraId="17A77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vAlign w:val="center"/>
          </w:tcPr>
          <w:p w14:paraId="7E5D2685">
            <w:pPr>
              <w:widowControl w:val="0"/>
              <w:jc w:val="center"/>
              <w:rPr>
                <w:rFonts w:hint="default"/>
                <w:sz w:val="24"/>
                <w:szCs w:val="24"/>
                <w:vertAlign w:val="baseline"/>
                <w:lang w:val="en-US" w:eastAsia="zh-CN"/>
              </w:rPr>
            </w:pPr>
            <w:r>
              <w:rPr>
                <w:rFonts w:hint="default"/>
                <w:sz w:val="24"/>
                <w:szCs w:val="24"/>
                <w:vertAlign w:val="baseline"/>
                <w:lang w:val="en-US" w:eastAsia="zh-CN"/>
              </w:rPr>
              <w:t>教务处意见</w:t>
            </w:r>
          </w:p>
        </w:tc>
        <w:tc>
          <w:tcPr>
            <w:tcW w:w="7506" w:type="dxa"/>
            <w:gridSpan w:val="3"/>
            <w:vAlign w:val="center"/>
          </w:tcPr>
          <w:p w14:paraId="709EB6B2">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32BD5910">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4C2038C0">
            <w:pPr>
              <w:widowControl w:val="0"/>
              <w:jc w:val="center"/>
              <w:rPr>
                <w:rFonts w:hint="default"/>
                <w:sz w:val="24"/>
                <w:szCs w:val="24"/>
                <w:vertAlign w:val="baseline"/>
                <w:lang w:val="en-US" w:eastAsia="zh-CN"/>
              </w:rPr>
            </w:pPr>
            <w:r>
              <w:rPr>
                <w:rFonts w:hint="eastAsia"/>
                <w:sz w:val="24"/>
                <w:szCs w:val="24"/>
                <w:vertAlign w:val="baseline"/>
                <w:lang w:val="en-US" w:eastAsia="zh-CN"/>
              </w:rPr>
              <w:t xml:space="preserve">                                  年      月      日</w:t>
            </w:r>
          </w:p>
        </w:tc>
      </w:tr>
      <w:tr w14:paraId="6EA80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shd w:val="clear" w:color="auto" w:fill="auto"/>
            <w:vAlign w:val="center"/>
          </w:tcPr>
          <w:p w14:paraId="209F7091">
            <w:pPr>
              <w:widowControl w:val="0"/>
              <w:jc w:val="center"/>
              <w:rPr>
                <w:rFonts w:hint="eastAsia" w:ascii="Arial" w:hAnsi="Arial" w:eastAsia="Arial" w:cs="Arial"/>
                <w:snapToGrid w:val="0"/>
                <w:color w:val="000000"/>
                <w:kern w:val="0"/>
                <w:sz w:val="24"/>
                <w:szCs w:val="24"/>
                <w:vertAlign w:val="baseline"/>
                <w:lang w:val="en-US" w:eastAsia="zh-CN" w:bidi="ar-SA"/>
              </w:rPr>
            </w:pPr>
            <w:r>
              <w:rPr>
                <w:rFonts w:hint="eastAsia"/>
                <w:sz w:val="24"/>
                <w:szCs w:val="24"/>
                <w:vertAlign w:val="baseline"/>
                <w:lang w:val="en-US" w:eastAsia="zh-CN"/>
              </w:rPr>
              <w:t>教育教学中心</w:t>
            </w:r>
            <w:r>
              <w:rPr>
                <w:rFonts w:hint="default"/>
                <w:sz w:val="24"/>
                <w:szCs w:val="24"/>
                <w:vertAlign w:val="baseline"/>
                <w:lang w:val="en-US" w:eastAsia="zh-CN"/>
              </w:rPr>
              <w:t>意见</w:t>
            </w:r>
          </w:p>
        </w:tc>
        <w:tc>
          <w:tcPr>
            <w:tcW w:w="7506" w:type="dxa"/>
            <w:gridSpan w:val="3"/>
            <w:shd w:val="clear" w:color="auto" w:fill="auto"/>
            <w:vAlign w:val="center"/>
          </w:tcPr>
          <w:p w14:paraId="6556A7C8">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6FF99D88">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169014E1">
            <w:pPr>
              <w:widowControl w:val="0"/>
              <w:jc w:val="center"/>
              <w:rPr>
                <w:rFonts w:hint="eastAsia" w:ascii="Arial" w:hAnsi="Arial" w:eastAsia="Arial" w:cs="Arial"/>
                <w:snapToGrid w:val="0"/>
                <w:color w:val="000000"/>
                <w:kern w:val="0"/>
                <w:sz w:val="24"/>
                <w:szCs w:val="24"/>
                <w:vertAlign w:val="baseline"/>
                <w:lang w:val="en-US" w:eastAsia="zh-CN" w:bidi="ar-SA"/>
              </w:rPr>
            </w:pPr>
            <w:r>
              <w:rPr>
                <w:rFonts w:hint="eastAsia"/>
                <w:sz w:val="24"/>
                <w:szCs w:val="24"/>
                <w:vertAlign w:val="baseline"/>
                <w:lang w:val="en-US" w:eastAsia="zh-CN"/>
              </w:rPr>
              <w:t xml:space="preserve">                                  年      月      日</w:t>
            </w:r>
          </w:p>
        </w:tc>
      </w:tr>
      <w:tr w14:paraId="36026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852" w:type="dxa"/>
            <w:shd w:val="clear" w:color="auto" w:fill="auto"/>
            <w:vAlign w:val="center"/>
          </w:tcPr>
          <w:p w14:paraId="705EDB74">
            <w:pPr>
              <w:widowControl w:val="0"/>
              <w:jc w:val="center"/>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学校</w:t>
            </w:r>
            <w:r>
              <w:rPr>
                <w:rFonts w:hint="default"/>
                <w:sz w:val="24"/>
                <w:szCs w:val="24"/>
                <w:vertAlign w:val="baseline"/>
                <w:lang w:val="en-US" w:eastAsia="zh-CN"/>
              </w:rPr>
              <w:t>意见</w:t>
            </w:r>
          </w:p>
        </w:tc>
        <w:tc>
          <w:tcPr>
            <w:tcW w:w="7506" w:type="dxa"/>
            <w:gridSpan w:val="3"/>
            <w:shd w:val="clear" w:color="auto" w:fill="auto"/>
            <w:vAlign w:val="center"/>
          </w:tcPr>
          <w:p w14:paraId="7D72F63D">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w:t>
            </w:r>
          </w:p>
          <w:p w14:paraId="4AEACE49">
            <w:pPr>
              <w:widowControl w:val="0"/>
              <w:jc w:val="center"/>
              <w:rPr>
                <w:rFonts w:hint="eastAsia"/>
                <w:sz w:val="24"/>
                <w:szCs w:val="24"/>
                <w:vertAlign w:val="baseline"/>
                <w:lang w:val="en-US" w:eastAsia="zh-CN"/>
              </w:rPr>
            </w:pPr>
            <w:r>
              <w:rPr>
                <w:rFonts w:hint="eastAsia"/>
                <w:sz w:val="24"/>
                <w:szCs w:val="24"/>
                <w:vertAlign w:val="baseline"/>
                <w:lang w:val="en-US" w:eastAsia="zh-CN"/>
              </w:rPr>
              <w:t xml:space="preserve">                   签字（盖章）：</w:t>
            </w:r>
          </w:p>
          <w:p w14:paraId="6E907343">
            <w:pPr>
              <w:widowControl w:val="0"/>
              <w:jc w:val="center"/>
              <w:rPr>
                <w:rFonts w:hint="eastAsia" w:asciiTheme="minorHAnsi" w:hAnsiTheme="minorHAnsi" w:eastAsiaTheme="minorEastAsia" w:cstheme="minorBidi"/>
                <w:kern w:val="2"/>
                <w:sz w:val="24"/>
                <w:szCs w:val="24"/>
                <w:vertAlign w:val="baseline"/>
                <w:lang w:val="en-US" w:eastAsia="zh-CN" w:bidi="ar-SA"/>
              </w:rPr>
            </w:pPr>
            <w:r>
              <w:rPr>
                <w:rFonts w:hint="eastAsia"/>
                <w:sz w:val="24"/>
                <w:szCs w:val="24"/>
                <w:vertAlign w:val="baseline"/>
                <w:lang w:val="en-US" w:eastAsia="zh-CN"/>
              </w:rPr>
              <w:t xml:space="preserve">                                  年      月      日</w:t>
            </w:r>
          </w:p>
        </w:tc>
      </w:tr>
    </w:tbl>
    <w:p w14:paraId="574B1C21">
      <w:pPr>
        <w:keepNext w:val="0"/>
        <w:keepLines w:val="0"/>
        <w:pageBreakBefore w:val="0"/>
        <w:wordWrap/>
        <w:topLinePunct w:val="0"/>
        <w:bidi w:val="0"/>
        <w:spacing w:line="222" w:lineRule="auto"/>
        <w:jc w:val="center"/>
        <w:outlineLvl w:val="9"/>
        <w:rPr>
          <w:rFonts w:hint="eastAsia" w:ascii="黑体" w:hAnsi="黑体" w:eastAsia="黑体" w:cs="黑体"/>
          <w:b w:val="0"/>
          <w:bCs w:val="0"/>
          <w:sz w:val="28"/>
          <w:szCs w:val="28"/>
          <w:highlight w:val="none"/>
          <w:lang w:val="en-US" w:eastAsia="zh-CN"/>
        </w:rPr>
        <w:sectPr>
          <w:pgSz w:w="11906" w:h="16839"/>
          <w:pgMar w:top="1431" w:right="1785" w:bottom="0" w:left="1785" w:header="0" w:footer="0" w:gutter="0"/>
          <w:cols w:space="720" w:num="1"/>
        </w:sectPr>
      </w:pPr>
    </w:p>
    <w:sdt>
      <w:sdtPr>
        <w:rPr>
          <w:rFonts w:ascii="宋体" w:hAnsi="宋体" w:eastAsia="宋体" w:cs="Arial"/>
          <w:snapToGrid w:val="0"/>
          <w:color w:val="000000"/>
          <w:kern w:val="0"/>
          <w:sz w:val="21"/>
          <w:szCs w:val="21"/>
          <w:lang w:val="en-US" w:eastAsia="en-US" w:bidi="ar-SA"/>
        </w:rPr>
        <w:id w:val="147455358"/>
        <w15:color w:val="DBDBDB"/>
        <w:docPartObj>
          <w:docPartGallery w:val="Table of Contents"/>
          <w:docPartUnique/>
        </w:docPartObj>
      </w:sdtPr>
      <w:sdtEndPr>
        <w:rPr>
          <w:rFonts w:ascii="宋体" w:hAnsi="宋体" w:eastAsia="宋体" w:cs="Arial"/>
          <w:snapToGrid w:val="0"/>
          <w:color w:val="000000"/>
          <w:kern w:val="0"/>
          <w:sz w:val="21"/>
          <w:szCs w:val="21"/>
          <w:lang w:val="en-US" w:eastAsia="en-US" w:bidi="ar-SA"/>
        </w:rPr>
      </w:sdtEndPr>
      <w:sdtContent>
        <w:p w14:paraId="3408DF7B">
          <w:pPr>
            <w:keepNext w:val="0"/>
            <w:keepLines w:val="0"/>
            <w:pageBreakBefore w:val="0"/>
            <w:wordWrap/>
            <w:topLinePunct w:val="0"/>
            <w:bidi w:val="0"/>
            <w:spacing w:before="0" w:beforeLines="0" w:after="0" w:afterLines="0" w:line="240" w:lineRule="auto"/>
            <w:ind w:left="0" w:leftChars="0" w:right="0" w:rightChars="0" w:firstLine="0" w:firstLineChars="0"/>
            <w:jc w:val="center"/>
            <w:outlineLvl w:val="9"/>
            <w:rPr>
              <w:rFonts w:hint="eastAsia" w:ascii="宋体" w:hAnsi="宋体" w:eastAsia="宋体" w:cs="宋体"/>
              <w:sz w:val="44"/>
              <w:szCs w:val="44"/>
            </w:rPr>
          </w:pPr>
          <w:bookmarkStart w:id="2" w:name="bookmark2"/>
          <w:bookmarkEnd w:id="2"/>
          <w:bookmarkStart w:id="3" w:name="bookmark3"/>
          <w:bookmarkEnd w:id="3"/>
          <w:r>
            <w:rPr>
              <w:rFonts w:hint="eastAsia" w:ascii="宋体" w:hAnsi="宋体" w:eastAsia="宋体" w:cs="宋体"/>
              <w:sz w:val="44"/>
              <w:szCs w:val="44"/>
            </w:rPr>
            <w:t>目</w:t>
          </w:r>
          <w:r>
            <w:rPr>
              <w:rFonts w:hint="eastAsia" w:ascii="宋体" w:hAnsi="宋体" w:eastAsia="宋体" w:cs="宋体"/>
              <w:sz w:val="44"/>
              <w:szCs w:val="44"/>
              <w:lang w:val="en-US" w:eastAsia="zh-CN"/>
            </w:rPr>
            <w:t xml:space="preserve">   </w:t>
          </w:r>
          <w:r>
            <w:rPr>
              <w:rFonts w:hint="eastAsia" w:ascii="宋体" w:hAnsi="宋体" w:eastAsia="宋体" w:cs="宋体"/>
              <w:sz w:val="44"/>
              <w:szCs w:val="44"/>
            </w:rPr>
            <w:t>录</w:t>
          </w:r>
          <w:bookmarkStart w:id="94" w:name="_GoBack"/>
          <w:bookmarkEnd w:id="94"/>
        </w:p>
        <w:p w14:paraId="22E2AFDE">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TOC \o "1-3" \h \u </w:instrText>
          </w:r>
          <w:r>
            <w:rPr>
              <w:rFonts w:hint="eastAsia" w:ascii="宋体" w:hAnsi="宋体" w:eastAsia="宋体" w:cs="宋体"/>
              <w:sz w:val="24"/>
              <w:szCs w:val="24"/>
            </w:rPr>
            <w:fldChar w:fldCharType="separate"/>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_Toc19939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rPr>
            <w:t>一、专业名称及代码</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_Toc19939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792FD0EA">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_Toc29854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rPr>
            <w:t>二、入学要求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_Toc29854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1F8FC131">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_Toc8496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rPr>
            <w:t>三、修业年限</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_Toc8496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1813ED6">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_Toc30753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rPr>
            <w:t>四、职业面向</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_Toc30753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06E49B5B">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_Toc24712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rPr>
            <w:t>五、培养目标</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_Toc24712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82CACD8">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_Toc5648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pacing w:val="-2"/>
              <w:sz w:val="24"/>
              <w:szCs w:val="24"/>
              <w:highlight w:val="none"/>
              <w:lang w:eastAsia="zh-CN"/>
            </w:rPr>
            <w:t>六、</w:t>
          </w:r>
          <w:r>
            <w:rPr>
              <w:rFonts w:hint="eastAsia" w:asciiTheme="minorEastAsia" w:hAnsiTheme="minorEastAsia" w:eastAsiaTheme="minorEastAsia" w:cstheme="minorEastAsia"/>
              <w:spacing w:val="-2"/>
              <w:sz w:val="24"/>
              <w:szCs w:val="24"/>
              <w:highlight w:val="none"/>
            </w:rPr>
            <w:t>培养规格</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_Toc5648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5054653">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_Toc17899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2"/>
              <w:sz w:val="24"/>
              <w:szCs w:val="24"/>
              <w:highlight w:val="none"/>
              <w:lang w:val="en-US" w:eastAsia="zh-CN"/>
            </w:rPr>
            <w:t>（一）基本素质要求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_Toc17899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16FA577C">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_Toc12021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2"/>
              <w:sz w:val="24"/>
              <w:szCs w:val="24"/>
              <w:highlight w:val="none"/>
              <w:lang w:val="en-US" w:eastAsia="zh-CN"/>
            </w:rPr>
            <w:t>（二）基本知识要求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_Toc12021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77C7652F">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_Toc3127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2"/>
              <w:sz w:val="24"/>
              <w:szCs w:val="24"/>
              <w:highlight w:val="none"/>
              <w:lang w:val="en-US" w:eastAsia="zh-CN"/>
            </w:rPr>
            <w:t>（三）基本能力要求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_Toc3127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FA682C1">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_Toc25795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lang w:eastAsia="zh-CN"/>
            </w:rPr>
            <w:t>七</w:t>
          </w:r>
          <w:r>
            <w:rPr>
              <w:rFonts w:hint="eastAsia" w:asciiTheme="minorEastAsia" w:hAnsiTheme="minorEastAsia" w:eastAsiaTheme="minorEastAsia" w:cstheme="minorEastAsia"/>
              <w:bCs w:val="0"/>
              <w:spacing w:val="-7"/>
              <w:sz w:val="24"/>
              <w:szCs w:val="24"/>
            </w:rPr>
            <w:t>、课程体系</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_Toc25795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0E4AB4F7">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_Toc7643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rPr>
            <w:t>（一）</w:t>
          </w:r>
          <w:r>
            <w:rPr>
              <w:rFonts w:hint="eastAsia" w:asciiTheme="minorEastAsia" w:hAnsiTheme="minorEastAsia" w:eastAsiaTheme="minorEastAsia" w:cstheme="minorEastAsia"/>
              <w:bCs/>
              <w:sz w:val="24"/>
              <w:szCs w:val="24"/>
              <w:highlight w:val="none"/>
            </w:rPr>
            <w:t>公共基础课程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_Toc7643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1D7AC0F">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_Toc12109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z w:val="24"/>
              <w:szCs w:val="24"/>
              <w:lang w:val="en-US" w:eastAsia="zh-CN"/>
            </w:rPr>
            <w:t>（二）</w:t>
          </w:r>
          <w:r>
            <w:rPr>
              <w:rFonts w:hint="eastAsia" w:asciiTheme="minorEastAsia" w:hAnsiTheme="minorEastAsia" w:eastAsiaTheme="minorEastAsia" w:cstheme="minorEastAsia"/>
              <w:bCs/>
              <w:sz w:val="24"/>
              <w:szCs w:val="24"/>
              <w:highlight w:val="none"/>
            </w:rPr>
            <w:t>专业（技能）课程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_Toc12109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1FAC1189">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_Toc30198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z w:val="24"/>
              <w:szCs w:val="24"/>
            </w:rPr>
            <w:t>（三）</w:t>
          </w:r>
          <w:r>
            <w:rPr>
              <w:rFonts w:hint="eastAsia" w:asciiTheme="minorEastAsia" w:hAnsiTheme="minorEastAsia" w:eastAsiaTheme="minorEastAsia" w:cstheme="minorEastAsia"/>
              <w:bCs/>
              <w:sz w:val="24"/>
              <w:szCs w:val="24"/>
              <w:highlight w:val="none"/>
            </w:rPr>
            <w:t>课时比例</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_Toc30198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7EE27B2">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_Toc23916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z w:val="24"/>
              <w:szCs w:val="24"/>
            </w:rPr>
            <w:t>（四）</w:t>
          </w:r>
          <w:r>
            <w:rPr>
              <w:rFonts w:hint="eastAsia" w:asciiTheme="minorEastAsia" w:hAnsiTheme="minorEastAsia" w:eastAsiaTheme="minorEastAsia" w:cstheme="minorEastAsia"/>
              <w:bCs/>
              <w:sz w:val="24"/>
              <w:szCs w:val="24"/>
              <w:highlight w:val="none"/>
            </w:rPr>
            <w:t>职业认证</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_Toc23916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23D69CED">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_Toc12141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lang w:eastAsia="zh-CN"/>
            </w:rPr>
            <w:t>八</w:t>
          </w:r>
          <w:r>
            <w:rPr>
              <w:rFonts w:hint="eastAsia" w:asciiTheme="minorEastAsia" w:hAnsiTheme="minorEastAsia" w:eastAsiaTheme="minorEastAsia" w:cstheme="minorEastAsia"/>
              <w:bCs w:val="0"/>
              <w:spacing w:val="-7"/>
              <w:sz w:val="24"/>
              <w:szCs w:val="24"/>
            </w:rPr>
            <w:t>、教学进程总体安排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_Toc12141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10C8A9F4">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_Toc12335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（一）学时安排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_Toc12335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22</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4ADAF89F">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_Toc22983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（二）教学进程总体安排</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_Toc22983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23</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092960B7">
          <w:pPr>
            <w:pStyle w:val="8"/>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_Toc26840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lang w:val="en-US" w:eastAsia="zh-CN"/>
            </w:rPr>
            <w:t>九、实施保障</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_Toc26840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6EBB0176">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_Toc10699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（一）师资队伍</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_Toc10699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24</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2F368D10">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_Toc10096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lang w:val="en-US" w:eastAsia="zh-CN"/>
            </w:rPr>
            <w:t>（二）教学设施</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_Toc10096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25</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0B071EEB">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_Toc10032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（三）教学资源</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_Toc10032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28</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E574298">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_Toc4875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lang w:eastAsia="zh-CN"/>
            </w:rPr>
            <w:t>（四）</w:t>
          </w:r>
          <w:r>
            <w:rPr>
              <w:rFonts w:hint="eastAsia" w:asciiTheme="minorEastAsia" w:hAnsiTheme="minorEastAsia" w:eastAsiaTheme="minorEastAsia" w:cstheme="minorEastAsia"/>
              <w:bCs/>
              <w:spacing w:val="-7"/>
              <w:sz w:val="24"/>
              <w:szCs w:val="24"/>
            </w:rPr>
            <w:t>教学方法</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_Toc4875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29</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53727516">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_Toc3867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（五）学习评价</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_Toc3867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29</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347E16A7">
          <w:pPr>
            <w:pStyle w:val="9"/>
            <w:tabs>
              <w:tab w:val="right" w:leader="dot" w:pos="9073"/>
            </w:tabs>
            <w:spacing w:line="360" w:lineRule="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_Toc14900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spacing w:val="-7"/>
              <w:sz w:val="24"/>
              <w:szCs w:val="24"/>
            </w:rPr>
            <w:t>（六）质量管理</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_Toc14900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29</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0E3F52F3">
          <w:pPr>
            <w:pStyle w:val="8"/>
            <w:tabs>
              <w:tab w:val="right" w:leader="dot" w:pos="9073"/>
            </w:tabs>
            <w:spacing w:line="360" w:lineRule="auto"/>
          </w:pP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HYPERLINK \l _Toc123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bCs w:val="0"/>
              <w:spacing w:val="-7"/>
              <w:sz w:val="24"/>
              <w:szCs w:val="24"/>
              <w:lang w:val="en-US" w:eastAsia="zh-CN"/>
            </w:rPr>
            <w:t>十、毕业要求</w:t>
          </w:r>
          <w:r>
            <w:rPr>
              <w:rFonts w:hint="eastAsia" w:asciiTheme="minorEastAsia" w:hAnsiTheme="minorEastAsia" w:eastAsiaTheme="minorEastAsia" w:cstheme="minorEastAsia"/>
              <w:sz w:val="24"/>
              <w:szCs w:val="24"/>
            </w:rPr>
            <w:tab/>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PAGEREF _Toc123 \h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30</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fldChar w:fldCharType="end"/>
          </w:r>
        </w:p>
        <w:p w14:paraId="53D73E7D">
          <w:pPr>
            <w:keepNext w:val="0"/>
            <w:keepLines w:val="0"/>
            <w:pageBreakBefore w:val="0"/>
            <w:wordWrap/>
            <w:topLinePunct w:val="0"/>
            <w:bidi w:val="0"/>
            <w:spacing w:line="360" w:lineRule="auto"/>
            <w:outlineLvl w:val="9"/>
          </w:pPr>
          <w:r>
            <w:rPr>
              <w:rFonts w:hint="eastAsia" w:ascii="宋体" w:hAnsi="宋体" w:eastAsia="宋体" w:cs="宋体"/>
              <w:szCs w:val="24"/>
            </w:rPr>
            <w:fldChar w:fldCharType="end"/>
          </w:r>
        </w:p>
      </w:sdtContent>
    </w:sdt>
    <w:p w14:paraId="05E8748E">
      <w:pPr>
        <w:keepNext w:val="0"/>
        <w:keepLines w:val="0"/>
        <w:pageBreakBefore w:val="0"/>
        <w:wordWrap/>
        <w:topLinePunct w:val="0"/>
        <w:bidi w:val="0"/>
        <w:outlineLvl w:val="9"/>
      </w:pPr>
    </w:p>
    <w:p w14:paraId="646F4183">
      <w:pPr>
        <w:pStyle w:val="4"/>
        <w:keepNext w:val="0"/>
        <w:keepLines w:val="0"/>
        <w:pageBreakBefore w:val="0"/>
        <w:wordWrap/>
        <w:topLinePunct w:val="0"/>
        <w:bidi w:val="0"/>
        <w:spacing w:before="88" w:line="225" w:lineRule="auto"/>
        <w:jc w:val="center"/>
        <w:outlineLvl w:val="9"/>
        <w:rPr>
          <w:rFonts w:ascii="黑体" w:hAnsi="黑体" w:eastAsia="黑体" w:cs="黑体"/>
          <w:spacing w:val="13"/>
          <w:sz w:val="43"/>
          <w:szCs w:val="43"/>
        </w:rPr>
      </w:pPr>
      <w:bookmarkStart w:id="4" w:name="_Toc19954"/>
    </w:p>
    <w:p w14:paraId="26C49963">
      <w:pPr>
        <w:keepNext w:val="0"/>
        <w:keepLines w:val="0"/>
        <w:pageBreakBefore w:val="0"/>
        <w:wordWrap/>
        <w:topLinePunct w:val="0"/>
        <w:bidi w:val="0"/>
        <w:outlineLvl w:val="9"/>
      </w:pPr>
    </w:p>
    <w:p w14:paraId="5557C94A">
      <w:pPr>
        <w:keepNext w:val="0"/>
        <w:keepLines w:val="0"/>
        <w:pageBreakBefore w:val="0"/>
        <w:wordWrap/>
        <w:topLinePunct w:val="0"/>
        <w:bidi w:val="0"/>
        <w:outlineLvl w:val="9"/>
      </w:pPr>
    </w:p>
    <w:p w14:paraId="2BFC6EE5">
      <w:pPr>
        <w:keepNext w:val="0"/>
        <w:keepLines w:val="0"/>
        <w:pageBreakBefore w:val="0"/>
        <w:tabs>
          <w:tab w:val="left" w:pos="629"/>
        </w:tabs>
        <w:wordWrap/>
        <w:topLinePunct w:val="0"/>
        <w:bidi w:val="0"/>
        <w:jc w:val="left"/>
        <w:outlineLvl w:val="9"/>
        <w:rPr>
          <w:rFonts w:hint="eastAsia" w:eastAsia="宋体"/>
          <w:lang w:eastAsia="zh-CN"/>
        </w:rPr>
        <w:sectPr>
          <w:footerReference r:id="rId5" w:type="default"/>
          <w:pgSz w:w="11906" w:h="16839"/>
          <w:pgMar w:top="1405" w:right="1409" w:bottom="1152" w:left="1424" w:header="0" w:footer="987" w:gutter="0"/>
          <w:cols w:space="720" w:num="1"/>
        </w:sectPr>
      </w:pPr>
      <w:r>
        <w:rPr>
          <w:rFonts w:hint="eastAsia" w:eastAsia="宋体"/>
          <w:lang w:eastAsia="zh-CN"/>
        </w:rPr>
        <w:tab/>
      </w:r>
    </w:p>
    <w:p w14:paraId="0BB83A5B">
      <w:pPr>
        <w:pStyle w:val="4"/>
        <w:keepNext w:val="0"/>
        <w:keepLines w:val="0"/>
        <w:pageBreakBefore w:val="0"/>
        <w:widowControl/>
        <w:kinsoku w:val="0"/>
        <w:wordWrap/>
        <w:overflowPunct/>
        <w:topLinePunct w:val="0"/>
        <w:autoSpaceDE w:val="0"/>
        <w:autoSpaceDN w:val="0"/>
        <w:bidi w:val="0"/>
        <w:adjustRightInd w:val="0"/>
        <w:snapToGrid w:val="0"/>
        <w:spacing w:before="88" w:line="226" w:lineRule="auto"/>
        <w:jc w:val="center"/>
        <w:textAlignment w:val="baseline"/>
        <w:outlineLvl w:val="9"/>
        <w:rPr>
          <w:rFonts w:ascii="黑体" w:hAnsi="黑体" w:eastAsia="黑体" w:cs="黑体"/>
          <w:sz w:val="43"/>
          <w:szCs w:val="43"/>
        </w:rPr>
      </w:pPr>
      <w:r>
        <w:rPr>
          <w:rFonts w:hint="eastAsia" w:ascii="黑体" w:hAnsi="黑体" w:eastAsia="黑体" w:cs="黑体"/>
          <w:spacing w:val="13"/>
          <w:sz w:val="43"/>
          <w:szCs w:val="43"/>
          <w:lang w:eastAsia="zh-CN"/>
        </w:rPr>
        <w:t>新能源汽车运用与维修</w:t>
      </w:r>
      <w:r>
        <w:rPr>
          <w:rFonts w:ascii="黑体" w:hAnsi="黑体" w:eastAsia="黑体" w:cs="黑体"/>
          <w:spacing w:val="13"/>
          <w:sz w:val="43"/>
          <w:szCs w:val="43"/>
        </w:rPr>
        <w:t>专业人才培养方案</w:t>
      </w:r>
      <w:bookmarkEnd w:id="4"/>
    </w:p>
    <w:p w14:paraId="030C762D">
      <w:pPr>
        <w:keepNext w:val="0"/>
        <w:keepLines w:val="0"/>
        <w:pageBreakBefore w:val="0"/>
        <w:wordWrap/>
        <w:topLinePunct w:val="0"/>
        <w:bidi w:val="0"/>
        <w:spacing w:before="1" w:line="220" w:lineRule="auto"/>
        <w:ind w:left="501"/>
        <w:outlineLvl w:val="9"/>
        <w:rPr>
          <w:rFonts w:hint="eastAsia" w:ascii="黑体" w:hAnsi="黑体" w:eastAsia="黑体" w:cs="黑体"/>
          <w:b w:val="0"/>
          <w:bCs w:val="0"/>
          <w:spacing w:val="-7"/>
          <w:sz w:val="24"/>
          <w:szCs w:val="24"/>
        </w:rPr>
      </w:pPr>
      <w:bookmarkStart w:id="5" w:name="bookmark28"/>
      <w:bookmarkEnd w:id="5"/>
    </w:p>
    <w:p w14:paraId="0416B74F">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6" w:name="_Toc19939"/>
      <w:r>
        <w:rPr>
          <w:rFonts w:hint="eastAsia" w:ascii="黑体" w:hAnsi="黑体" w:eastAsia="黑体" w:cs="黑体"/>
          <w:b w:val="0"/>
          <w:bCs w:val="0"/>
          <w:spacing w:val="-7"/>
          <w:sz w:val="24"/>
          <w:szCs w:val="24"/>
        </w:rPr>
        <w:t>一、专业名称及代码</w:t>
      </w:r>
      <w:bookmarkEnd w:id="6"/>
    </w:p>
    <w:p w14:paraId="1F13809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sz w:val="24"/>
          <w:szCs w:val="24"/>
          <w:lang w:eastAsia="zh-CN"/>
        </w:rPr>
      </w:pPr>
      <w:r>
        <w:rPr>
          <w:rFonts w:hint="eastAsia" w:ascii="宋体" w:hAnsi="宋体" w:eastAsia="宋体" w:cs="宋体"/>
          <w:sz w:val="24"/>
          <w:szCs w:val="24"/>
        </w:rPr>
        <w:t xml:space="preserve">专业名称: </w:t>
      </w:r>
      <w:r>
        <w:rPr>
          <w:rFonts w:hint="eastAsia" w:ascii="宋体" w:hAnsi="宋体" w:eastAsia="宋体" w:cs="宋体"/>
          <w:sz w:val="24"/>
          <w:szCs w:val="24"/>
          <w:lang w:eastAsia="zh-CN"/>
        </w:rPr>
        <w:t>新能源汽车运用与维修</w:t>
      </w:r>
    </w:p>
    <w:p w14:paraId="5808DEF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default" w:ascii="宋体" w:hAnsi="宋体" w:eastAsia="宋体" w:cs="宋体"/>
          <w:sz w:val="24"/>
          <w:szCs w:val="24"/>
          <w:lang w:val="en-US" w:eastAsia="zh-CN"/>
        </w:rPr>
      </w:pPr>
      <w:r>
        <w:rPr>
          <w:rFonts w:hint="eastAsia" w:ascii="宋体" w:hAnsi="宋体" w:eastAsia="宋体" w:cs="宋体"/>
          <w:sz w:val="24"/>
          <w:szCs w:val="24"/>
        </w:rPr>
        <w:t>专业代码：</w:t>
      </w:r>
      <w:r>
        <w:rPr>
          <w:rFonts w:hint="eastAsia" w:ascii="宋体" w:hAnsi="宋体" w:eastAsia="宋体" w:cs="宋体"/>
          <w:sz w:val="24"/>
          <w:szCs w:val="24"/>
          <w:lang w:val="en-US" w:eastAsia="zh-CN"/>
        </w:rPr>
        <w:t>700209</w:t>
      </w:r>
    </w:p>
    <w:p w14:paraId="66B0D156">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7" w:name="bookmark29"/>
      <w:bookmarkEnd w:id="7"/>
      <w:bookmarkStart w:id="8" w:name="_Toc29854"/>
      <w:r>
        <w:rPr>
          <w:rFonts w:hint="eastAsia" w:ascii="黑体" w:hAnsi="黑体" w:eastAsia="黑体" w:cs="黑体"/>
          <w:b w:val="0"/>
          <w:bCs w:val="0"/>
          <w:spacing w:val="-7"/>
          <w:sz w:val="24"/>
          <w:szCs w:val="24"/>
        </w:rPr>
        <w:t>二、入学要求</w:t>
      </w:r>
      <w:bookmarkEnd w:id="8"/>
    </w:p>
    <w:p w14:paraId="4D15830E">
      <w:pPr>
        <w:pStyle w:val="4"/>
        <w:keepNext w:val="0"/>
        <w:keepLines w:val="0"/>
        <w:pageBreakBefore w:val="0"/>
        <w:wordWrap/>
        <w:topLinePunct w:val="0"/>
        <w:bidi w:val="0"/>
        <w:spacing w:before="23" w:line="360" w:lineRule="auto"/>
        <w:ind w:left="481"/>
        <w:outlineLvl w:val="9"/>
        <w:rPr>
          <w:rFonts w:hint="eastAsia" w:eastAsia="宋体"/>
          <w:b w:val="0"/>
          <w:bCs w:val="0"/>
          <w:spacing w:val="-1"/>
          <w:lang w:eastAsia="zh-CN"/>
        </w:rPr>
      </w:pPr>
      <w:bookmarkStart w:id="9" w:name="bookmark4"/>
      <w:bookmarkEnd w:id="9"/>
      <w:r>
        <w:rPr>
          <w:rFonts w:hint="eastAsia"/>
          <w:b w:val="0"/>
          <w:bCs w:val="0"/>
          <w:spacing w:val="-1"/>
        </w:rPr>
        <w:t>初级中等学校毕业或具备同等</w:t>
      </w:r>
      <w:r>
        <w:rPr>
          <w:rFonts w:hint="eastAsia"/>
          <w:b w:val="0"/>
          <w:bCs w:val="0"/>
          <w:spacing w:val="-1"/>
          <w:lang w:eastAsia="zh-CN"/>
        </w:rPr>
        <w:t>学历</w:t>
      </w:r>
    </w:p>
    <w:p w14:paraId="77D65EC8">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10" w:name="_Toc8496"/>
      <w:r>
        <w:rPr>
          <w:rFonts w:hint="eastAsia" w:ascii="黑体" w:hAnsi="黑体" w:eastAsia="黑体" w:cs="黑体"/>
          <w:b w:val="0"/>
          <w:bCs w:val="0"/>
          <w:spacing w:val="-7"/>
          <w:sz w:val="24"/>
          <w:szCs w:val="24"/>
        </w:rPr>
        <w:t>三、修业年限</w:t>
      </w:r>
      <w:bookmarkEnd w:id="10"/>
    </w:p>
    <w:p w14:paraId="3B8B7B23">
      <w:pPr>
        <w:pStyle w:val="4"/>
        <w:keepNext w:val="0"/>
        <w:keepLines w:val="0"/>
        <w:pageBreakBefore w:val="0"/>
        <w:wordWrap/>
        <w:topLinePunct w:val="0"/>
        <w:bidi w:val="0"/>
        <w:spacing w:before="25" w:line="360" w:lineRule="auto"/>
        <w:ind w:left="485" w:firstLine="224" w:firstLineChars="100"/>
        <w:outlineLvl w:val="9"/>
        <w:rPr>
          <w:b w:val="0"/>
          <w:bCs w:val="0"/>
        </w:rPr>
      </w:pPr>
      <w:bookmarkStart w:id="11" w:name="bookmark5"/>
      <w:bookmarkEnd w:id="11"/>
      <w:r>
        <w:rPr>
          <w:rFonts w:hint="eastAsia"/>
          <w:b w:val="0"/>
          <w:bCs w:val="0"/>
          <w:spacing w:val="-8"/>
          <w:lang w:eastAsia="zh-CN"/>
        </w:rPr>
        <w:t>三</w:t>
      </w:r>
      <w:r>
        <w:rPr>
          <w:b w:val="0"/>
          <w:bCs w:val="0"/>
          <w:spacing w:val="-49"/>
        </w:rPr>
        <w:t xml:space="preserve"> </w:t>
      </w:r>
      <w:r>
        <w:rPr>
          <w:b w:val="0"/>
          <w:bCs w:val="0"/>
          <w:spacing w:val="-8"/>
        </w:rPr>
        <w:t>年</w:t>
      </w:r>
    </w:p>
    <w:p w14:paraId="6E301E94">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12" w:name="bookmark30"/>
      <w:bookmarkEnd w:id="12"/>
      <w:bookmarkStart w:id="13" w:name="_Toc30753"/>
      <w:r>
        <w:rPr>
          <w:rFonts w:hint="eastAsia" w:ascii="黑体" w:hAnsi="黑体" w:eastAsia="黑体" w:cs="黑体"/>
          <w:b w:val="0"/>
          <w:bCs w:val="0"/>
          <w:spacing w:val="-7"/>
          <w:sz w:val="24"/>
          <w:szCs w:val="24"/>
        </w:rPr>
        <w:t>四、职业面向</w:t>
      </w:r>
      <w:bookmarkEnd w:id="13"/>
    </w:p>
    <w:p w14:paraId="5CD32441">
      <w:pPr>
        <w:pStyle w:val="4"/>
        <w:keepNext w:val="0"/>
        <w:keepLines w:val="0"/>
        <w:pageBreakBefore w:val="0"/>
        <w:wordWrap/>
        <w:topLinePunct w:val="0"/>
        <w:bidi w:val="0"/>
        <w:spacing w:before="21" w:line="220" w:lineRule="auto"/>
        <w:ind w:left="3847"/>
        <w:outlineLvl w:val="9"/>
      </w:pPr>
      <w:r>
        <w:rPr>
          <w:spacing w:val="-4"/>
        </w:rPr>
        <w:t>表</w:t>
      </w:r>
      <w:r>
        <w:rPr>
          <w:spacing w:val="-30"/>
        </w:rPr>
        <w:t xml:space="preserve"> </w:t>
      </w:r>
      <w:r>
        <w:rPr>
          <w:spacing w:val="-4"/>
        </w:rPr>
        <w:t>1 职业面向分析表</w:t>
      </w:r>
    </w:p>
    <w:p w14:paraId="7269F429">
      <w:pPr>
        <w:keepNext w:val="0"/>
        <w:keepLines w:val="0"/>
        <w:pageBreakBefore w:val="0"/>
        <w:wordWrap/>
        <w:topLinePunct w:val="0"/>
        <w:bidi w:val="0"/>
        <w:spacing w:line="55" w:lineRule="exact"/>
        <w:outlineLvl w:val="9"/>
      </w:pPr>
    </w:p>
    <w:tbl>
      <w:tblPr>
        <w:tblStyle w:val="14"/>
        <w:tblW w:w="10112"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54"/>
        <w:gridCol w:w="1401"/>
        <w:gridCol w:w="1584"/>
        <w:gridCol w:w="1596"/>
        <w:gridCol w:w="1737"/>
        <w:gridCol w:w="2440"/>
      </w:tblGrid>
      <w:tr w14:paraId="636374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2" w:hRule="atLeast"/>
          <w:jc w:val="center"/>
        </w:trPr>
        <w:tc>
          <w:tcPr>
            <w:tcW w:w="1354" w:type="dxa"/>
            <w:vAlign w:val="center"/>
          </w:tcPr>
          <w:p w14:paraId="19740F6F">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158"/>
              <w:textAlignment w:val="baseline"/>
              <w:outlineLvl w:val="9"/>
              <w:rPr>
                <w:rFonts w:hint="eastAsia" w:ascii="宋体" w:hAnsi="宋体" w:eastAsia="宋体" w:cs="宋体"/>
                <w:sz w:val="24"/>
                <w:szCs w:val="24"/>
              </w:rPr>
            </w:pPr>
            <w:r>
              <w:rPr>
                <w:rFonts w:hint="eastAsia" w:ascii="宋体" w:hAnsi="宋体" w:eastAsia="宋体" w:cs="宋体"/>
                <w:spacing w:val="-3"/>
                <w:sz w:val="24"/>
                <w:szCs w:val="24"/>
              </w:rPr>
              <w:t>所属专业</w:t>
            </w:r>
          </w:p>
          <w:p w14:paraId="6F1DD2DB">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401"/>
              <w:textAlignment w:val="baseline"/>
              <w:outlineLvl w:val="9"/>
              <w:rPr>
                <w:rFonts w:hint="eastAsia" w:ascii="宋体" w:hAnsi="宋体" w:eastAsia="宋体" w:cs="宋体"/>
                <w:sz w:val="24"/>
                <w:szCs w:val="24"/>
              </w:rPr>
            </w:pPr>
            <w:r>
              <w:rPr>
                <w:rFonts w:hint="eastAsia" w:ascii="宋体" w:hAnsi="宋体" w:eastAsia="宋体" w:cs="宋体"/>
                <w:spacing w:val="-7"/>
                <w:sz w:val="24"/>
                <w:szCs w:val="24"/>
              </w:rPr>
              <w:t>大类</w:t>
            </w:r>
          </w:p>
          <w:p w14:paraId="741A3D98">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169"/>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（代码）</w:t>
            </w:r>
          </w:p>
        </w:tc>
        <w:tc>
          <w:tcPr>
            <w:tcW w:w="1401" w:type="dxa"/>
            <w:vAlign w:val="center"/>
          </w:tcPr>
          <w:p w14:paraId="3D3762F9">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160"/>
              <w:textAlignment w:val="baseline"/>
              <w:outlineLvl w:val="9"/>
              <w:rPr>
                <w:rFonts w:hint="eastAsia" w:ascii="宋体" w:hAnsi="宋体" w:eastAsia="宋体" w:cs="宋体"/>
                <w:sz w:val="24"/>
                <w:szCs w:val="24"/>
              </w:rPr>
            </w:pPr>
            <w:r>
              <w:rPr>
                <w:rFonts w:hint="eastAsia" w:ascii="宋体" w:hAnsi="宋体" w:eastAsia="宋体" w:cs="宋体"/>
                <w:spacing w:val="-3"/>
                <w:sz w:val="24"/>
                <w:szCs w:val="24"/>
              </w:rPr>
              <w:t>所属专业</w:t>
            </w:r>
            <w:r>
              <w:rPr>
                <w:rFonts w:hint="eastAsia" w:ascii="宋体" w:hAnsi="宋体" w:eastAsia="宋体" w:cs="宋体"/>
                <w:sz w:val="24"/>
                <w:szCs w:val="24"/>
              </w:rPr>
              <w:t>类</w:t>
            </w:r>
          </w:p>
          <w:p w14:paraId="62A0A806">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171"/>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（代码）</w:t>
            </w:r>
          </w:p>
        </w:tc>
        <w:tc>
          <w:tcPr>
            <w:tcW w:w="1584" w:type="dxa"/>
            <w:vAlign w:val="center"/>
          </w:tcPr>
          <w:p w14:paraId="0CE695E1">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rPr>
            </w:pPr>
            <w:r>
              <w:rPr>
                <w:rFonts w:hint="eastAsia" w:ascii="宋体" w:hAnsi="宋体" w:eastAsia="宋体" w:cs="宋体"/>
                <w:spacing w:val="-3"/>
                <w:sz w:val="24"/>
                <w:szCs w:val="24"/>
              </w:rPr>
              <w:t>对应行业</w:t>
            </w:r>
          </w:p>
          <w:p w14:paraId="38A08024">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208"/>
              <w:jc w:val="center"/>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（代码）</w:t>
            </w:r>
          </w:p>
        </w:tc>
        <w:tc>
          <w:tcPr>
            <w:tcW w:w="1596" w:type="dxa"/>
            <w:vAlign w:val="center"/>
          </w:tcPr>
          <w:p w14:paraId="18D4CE00">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362"/>
              <w:textAlignment w:val="baseline"/>
              <w:outlineLvl w:val="9"/>
              <w:rPr>
                <w:rFonts w:hint="eastAsia" w:ascii="宋体" w:hAnsi="宋体" w:eastAsia="宋体" w:cs="宋体"/>
                <w:sz w:val="24"/>
                <w:szCs w:val="24"/>
              </w:rPr>
            </w:pPr>
            <w:r>
              <w:rPr>
                <w:rFonts w:hint="eastAsia" w:ascii="宋体" w:hAnsi="宋体" w:eastAsia="宋体" w:cs="宋体"/>
                <w:spacing w:val="-3"/>
                <w:sz w:val="24"/>
                <w:szCs w:val="24"/>
              </w:rPr>
              <w:t>主要职业</w:t>
            </w:r>
          </w:p>
          <w:p w14:paraId="0FE00D79">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600"/>
              <w:textAlignment w:val="baseline"/>
              <w:outlineLvl w:val="9"/>
              <w:rPr>
                <w:rFonts w:hint="eastAsia" w:ascii="宋体" w:hAnsi="宋体" w:eastAsia="宋体" w:cs="宋体"/>
                <w:sz w:val="24"/>
                <w:szCs w:val="24"/>
              </w:rPr>
            </w:pPr>
            <w:r>
              <w:rPr>
                <w:rFonts w:hint="eastAsia" w:ascii="宋体" w:hAnsi="宋体" w:eastAsia="宋体" w:cs="宋体"/>
                <w:spacing w:val="-5"/>
                <w:sz w:val="24"/>
                <w:szCs w:val="24"/>
              </w:rPr>
              <w:t>类别</w:t>
            </w:r>
          </w:p>
          <w:p w14:paraId="5F8A5683">
            <w:pPr>
              <w:pStyle w:val="15"/>
              <w:keepNext w:val="0"/>
              <w:keepLines w:val="0"/>
              <w:pageBreakBefore w:val="0"/>
              <w:widowControl/>
              <w:kinsoku w:val="0"/>
              <w:wordWrap/>
              <w:overflowPunct/>
              <w:topLinePunct w:val="0"/>
              <w:autoSpaceDE w:val="0"/>
              <w:autoSpaceDN w:val="0"/>
              <w:bidi w:val="0"/>
              <w:adjustRightInd w:val="0"/>
              <w:snapToGrid w:val="0"/>
              <w:spacing w:line="360" w:lineRule="auto"/>
              <w:ind w:left="371"/>
              <w:textAlignment w:val="baseline"/>
              <w:outlineLvl w:val="9"/>
              <w:rPr>
                <w:rFonts w:hint="eastAsia" w:ascii="宋体" w:hAnsi="宋体" w:eastAsia="宋体" w:cs="宋体"/>
                <w:sz w:val="24"/>
                <w:szCs w:val="24"/>
              </w:rPr>
            </w:pPr>
            <w:r>
              <w:rPr>
                <w:rFonts w:hint="eastAsia" w:ascii="宋体" w:hAnsi="宋体" w:eastAsia="宋体" w:cs="宋体"/>
                <w:spacing w:val="-6"/>
                <w:sz w:val="24"/>
                <w:szCs w:val="24"/>
              </w:rPr>
              <w:t>（代码）</w:t>
            </w:r>
          </w:p>
        </w:tc>
        <w:tc>
          <w:tcPr>
            <w:tcW w:w="1737" w:type="dxa"/>
            <w:vAlign w:val="center"/>
          </w:tcPr>
          <w:p w14:paraId="69E787E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rPr>
            </w:pPr>
            <w:r>
              <w:rPr>
                <w:rFonts w:hint="eastAsia" w:ascii="宋体" w:hAnsi="宋体" w:eastAsia="宋体" w:cs="宋体"/>
                <w:snapToGrid w:val="0"/>
                <w:color w:val="000000"/>
                <w:kern w:val="0"/>
                <w:sz w:val="24"/>
                <w:szCs w:val="24"/>
                <w:lang w:val="en-US" w:eastAsia="zh-CN" w:bidi="ar"/>
              </w:rPr>
              <w:t>主要岗位（群）或技术领域</w:t>
            </w:r>
          </w:p>
        </w:tc>
        <w:tc>
          <w:tcPr>
            <w:tcW w:w="2440" w:type="dxa"/>
            <w:vAlign w:val="center"/>
          </w:tcPr>
          <w:p w14:paraId="22F19157">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z w:val="24"/>
                <w:szCs w:val="24"/>
                <w:lang w:eastAsia="zh-CN"/>
              </w:rPr>
            </w:pPr>
            <w:r>
              <w:rPr>
                <w:rFonts w:hint="eastAsia" w:ascii="宋体" w:hAnsi="宋体" w:eastAsia="宋体" w:cs="宋体"/>
                <w:spacing w:val="-2"/>
                <w:sz w:val="24"/>
                <w:szCs w:val="24"/>
              </w:rPr>
              <w:t>职业</w:t>
            </w:r>
            <w:r>
              <w:rPr>
                <w:rFonts w:hint="eastAsia" w:cs="宋体"/>
                <w:spacing w:val="-2"/>
                <w:sz w:val="24"/>
                <w:szCs w:val="24"/>
                <w:lang w:eastAsia="zh-CN"/>
              </w:rPr>
              <w:t>类证书</w:t>
            </w:r>
          </w:p>
        </w:tc>
      </w:tr>
      <w:tr w14:paraId="678222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86" w:hRule="atLeast"/>
          <w:jc w:val="center"/>
        </w:trPr>
        <w:tc>
          <w:tcPr>
            <w:tcW w:w="1354" w:type="dxa"/>
            <w:vAlign w:val="center"/>
          </w:tcPr>
          <w:p w14:paraId="0B975649">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z w:val="24"/>
                <w:szCs w:val="24"/>
                <w:lang w:val="en-US" w:eastAsia="zh-CN"/>
              </w:rPr>
            </w:pPr>
            <w:r>
              <w:rPr>
                <w:rFonts w:hint="eastAsia" w:cs="宋体"/>
                <w:spacing w:val="-6"/>
                <w:sz w:val="24"/>
                <w:szCs w:val="24"/>
                <w:lang w:val="en-US" w:eastAsia="zh-CN"/>
              </w:rPr>
              <w:t>交通运输</w:t>
            </w:r>
            <w:r>
              <w:rPr>
                <w:rFonts w:hint="eastAsia" w:ascii="宋体" w:hAnsi="宋体" w:eastAsia="宋体" w:cs="宋体"/>
                <w:spacing w:val="-6"/>
                <w:sz w:val="24"/>
                <w:szCs w:val="24"/>
                <w:lang w:val="en-US" w:eastAsia="zh-CN"/>
              </w:rPr>
              <w:t>大类（</w:t>
            </w:r>
            <w:r>
              <w:rPr>
                <w:rFonts w:hint="eastAsia" w:cs="宋体"/>
                <w:spacing w:val="-6"/>
                <w:sz w:val="24"/>
                <w:szCs w:val="24"/>
                <w:lang w:val="en-US" w:eastAsia="zh-CN"/>
              </w:rPr>
              <w:t>70</w:t>
            </w:r>
            <w:r>
              <w:rPr>
                <w:rFonts w:hint="eastAsia" w:ascii="宋体" w:hAnsi="宋体" w:eastAsia="宋体" w:cs="宋体"/>
                <w:spacing w:val="-6"/>
                <w:sz w:val="24"/>
                <w:szCs w:val="24"/>
                <w:lang w:val="en-US" w:eastAsia="zh-CN"/>
              </w:rPr>
              <w:t>）</w:t>
            </w:r>
          </w:p>
        </w:tc>
        <w:tc>
          <w:tcPr>
            <w:tcW w:w="1401" w:type="dxa"/>
            <w:vAlign w:val="center"/>
          </w:tcPr>
          <w:p w14:paraId="111DEDAE">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pacing w:val="-2"/>
                <w:sz w:val="24"/>
                <w:szCs w:val="24"/>
                <w:lang w:eastAsia="zh-CN"/>
              </w:rPr>
            </w:pPr>
            <w:r>
              <w:rPr>
                <w:rFonts w:hint="eastAsia" w:cs="宋体"/>
                <w:spacing w:val="-2"/>
                <w:sz w:val="24"/>
                <w:szCs w:val="24"/>
                <w:lang w:eastAsia="zh-CN"/>
              </w:rPr>
              <w:t>道路运输</w:t>
            </w:r>
            <w:r>
              <w:rPr>
                <w:rFonts w:hint="eastAsia" w:ascii="宋体" w:hAnsi="宋体" w:eastAsia="宋体" w:cs="宋体"/>
                <w:spacing w:val="-2"/>
                <w:sz w:val="24"/>
                <w:szCs w:val="24"/>
                <w:lang w:eastAsia="zh-CN"/>
              </w:rPr>
              <w:t>类</w:t>
            </w:r>
          </w:p>
          <w:p w14:paraId="5FA9B258">
            <w:pPr>
              <w:pStyle w:val="15"/>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outlineLvl w:val="9"/>
              <w:rPr>
                <w:rFonts w:hint="default" w:ascii="宋体" w:hAnsi="宋体" w:eastAsia="宋体" w:cs="宋体"/>
                <w:sz w:val="24"/>
                <w:szCs w:val="24"/>
                <w:lang w:val="en-US" w:eastAsia="zh-CN"/>
              </w:rPr>
            </w:pPr>
            <w:r>
              <w:rPr>
                <w:rFonts w:hint="eastAsia" w:cs="宋体"/>
                <w:sz w:val="24"/>
                <w:szCs w:val="24"/>
                <w:lang w:val="en-US" w:eastAsia="zh-CN"/>
              </w:rPr>
              <w:t>7002</w:t>
            </w:r>
          </w:p>
        </w:tc>
        <w:tc>
          <w:tcPr>
            <w:tcW w:w="1584" w:type="dxa"/>
            <w:vAlign w:val="center"/>
          </w:tcPr>
          <w:p w14:paraId="6D672052">
            <w:pPr>
              <w:pStyle w:val="15"/>
              <w:keepNext w:val="0"/>
              <w:keepLines w:val="0"/>
              <w:pageBreakBefore w:val="0"/>
              <w:widowControl/>
              <w:kinsoku w:val="0"/>
              <w:wordWrap/>
              <w:overflowPunct/>
              <w:topLinePunct w:val="0"/>
              <w:autoSpaceDE w:val="0"/>
              <w:autoSpaceDN w:val="0"/>
              <w:bidi w:val="0"/>
              <w:adjustRightInd w:val="0"/>
              <w:snapToGrid w:val="0"/>
              <w:spacing w:line="360" w:lineRule="auto"/>
              <w:ind w:right="105"/>
              <w:jc w:val="both"/>
              <w:textAlignment w:val="baseline"/>
              <w:outlineLvl w:val="9"/>
              <w:rPr>
                <w:rFonts w:hint="eastAsia" w:ascii="宋体" w:hAnsi="宋体" w:eastAsia="宋体" w:cs="宋体"/>
                <w:sz w:val="24"/>
                <w:szCs w:val="24"/>
                <w:lang w:eastAsia="zh-CN"/>
              </w:rPr>
            </w:pPr>
            <w:r>
              <w:rPr>
                <w:rFonts w:hint="eastAsia" w:cs="宋体"/>
                <w:sz w:val="24"/>
                <w:szCs w:val="24"/>
                <w:lang w:eastAsia="zh-CN"/>
              </w:rPr>
              <w:t>新能源汽车修理与维护（</w:t>
            </w:r>
            <w:r>
              <w:rPr>
                <w:rFonts w:hint="eastAsia" w:cs="宋体"/>
                <w:sz w:val="24"/>
                <w:szCs w:val="24"/>
                <w:lang w:val="en-US" w:eastAsia="zh-CN"/>
              </w:rPr>
              <w:t>8111</w:t>
            </w:r>
            <w:r>
              <w:rPr>
                <w:rFonts w:hint="eastAsia" w:cs="宋体"/>
                <w:sz w:val="24"/>
                <w:szCs w:val="24"/>
                <w:lang w:eastAsia="zh-CN"/>
              </w:rPr>
              <w:t>）</w:t>
            </w:r>
          </w:p>
        </w:tc>
        <w:tc>
          <w:tcPr>
            <w:tcW w:w="1596" w:type="dxa"/>
            <w:vAlign w:val="center"/>
          </w:tcPr>
          <w:p w14:paraId="3E381AA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lang w:eastAsia="zh-CN"/>
              </w:rPr>
            </w:pPr>
            <w:r>
              <w:rPr>
                <w:rFonts w:hint="eastAsia" w:ascii="宋体" w:hAnsi="宋体" w:eastAsia="宋体" w:cs="宋体"/>
                <w:sz w:val="24"/>
                <w:szCs w:val="24"/>
                <w:lang w:eastAsia="zh-CN"/>
              </w:rPr>
              <w:t>新能源汽车维修工（</w:t>
            </w:r>
            <w:r>
              <w:rPr>
                <w:rFonts w:hint="eastAsia" w:ascii="宋体" w:hAnsi="宋体" w:eastAsia="宋体" w:cs="宋体"/>
                <w:sz w:val="24"/>
                <w:szCs w:val="24"/>
                <w:lang w:val="en-US" w:eastAsia="zh-CN"/>
              </w:rPr>
              <w:t>4-12-01-01</w:t>
            </w:r>
            <w:r>
              <w:rPr>
                <w:rFonts w:hint="eastAsia" w:ascii="宋体" w:hAnsi="宋体" w:eastAsia="宋体" w:cs="宋体"/>
                <w:sz w:val="24"/>
                <w:szCs w:val="24"/>
                <w:lang w:eastAsia="zh-CN"/>
              </w:rPr>
              <w:t>）</w:t>
            </w:r>
          </w:p>
        </w:tc>
        <w:tc>
          <w:tcPr>
            <w:tcW w:w="1737" w:type="dxa"/>
            <w:vAlign w:val="center"/>
          </w:tcPr>
          <w:p w14:paraId="72F28A4F">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z w:val="24"/>
                <w:szCs w:val="24"/>
                <w:lang w:eastAsia="zh-CN"/>
              </w:rPr>
            </w:pPr>
            <w:r>
              <w:rPr>
                <w:rFonts w:hint="eastAsia" w:ascii="宋体" w:hAnsi="宋体" w:eastAsia="宋体" w:cs="宋体"/>
                <w:sz w:val="24"/>
                <w:szCs w:val="24"/>
                <w:lang w:eastAsia="zh-CN"/>
              </w:rPr>
              <w:t>新能源汽车维修服务（汽车机电维修、汽车服务接待）</w:t>
            </w:r>
          </w:p>
        </w:tc>
        <w:tc>
          <w:tcPr>
            <w:tcW w:w="2440" w:type="dxa"/>
            <w:vAlign w:val="center"/>
          </w:tcPr>
          <w:p w14:paraId="1FDCDDD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z w:val="24"/>
                <w:szCs w:val="24"/>
                <w:lang w:eastAsia="zh-CN"/>
              </w:rPr>
            </w:pPr>
            <w:r>
              <w:rPr>
                <w:rFonts w:hint="eastAsia" w:ascii="宋体" w:hAnsi="宋体" w:eastAsia="宋体" w:cs="宋体"/>
                <w:sz w:val="24"/>
                <w:szCs w:val="24"/>
                <w:lang w:eastAsia="zh-CN"/>
              </w:rPr>
              <w:t>新能源汽车维修工；</w:t>
            </w:r>
          </w:p>
          <w:p w14:paraId="03BD0E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z w:val="24"/>
                <w:szCs w:val="24"/>
                <w:lang w:eastAsia="zh-CN"/>
              </w:rPr>
            </w:pPr>
            <w:r>
              <w:rPr>
                <w:rFonts w:hint="eastAsia" w:ascii="宋体" w:hAnsi="宋体" w:eastAsia="宋体" w:cs="宋体"/>
                <w:sz w:val="24"/>
                <w:szCs w:val="24"/>
                <w:lang w:eastAsia="zh-CN"/>
              </w:rPr>
              <w:t>机动车检测工；</w:t>
            </w:r>
          </w:p>
          <w:p w14:paraId="27592C2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both"/>
              <w:textAlignment w:val="baseline"/>
              <w:outlineLvl w:val="9"/>
              <w:rPr>
                <w:rFonts w:hint="eastAsia" w:ascii="宋体" w:hAnsi="宋体" w:eastAsia="宋体" w:cs="宋体"/>
                <w:sz w:val="24"/>
                <w:szCs w:val="24"/>
                <w:lang w:val="en-US" w:eastAsia="zh-CN"/>
              </w:rPr>
            </w:pPr>
            <w:r>
              <w:rPr>
                <w:rFonts w:hint="eastAsia" w:ascii="宋体" w:hAnsi="宋体" w:eastAsia="宋体" w:cs="宋体"/>
                <w:sz w:val="24"/>
                <w:szCs w:val="24"/>
                <w:lang w:eastAsia="zh-CN"/>
              </w:rPr>
              <w:t>“1+X”新能源汽车运用与维修；</w:t>
            </w:r>
          </w:p>
        </w:tc>
      </w:tr>
    </w:tbl>
    <w:p w14:paraId="5943A78F">
      <w:pPr>
        <w:keepNext w:val="0"/>
        <w:keepLines w:val="0"/>
        <w:pageBreakBefore w:val="0"/>
        <w:widowControl/>
        <w:kinsoku w:val="0"/>
        <w:wordWrap/>
        <w:overflowPunct/>
        <w:topLinePunct w:val="0"/>
        <w:autoSpaceDE w:val="0"/>
        <w:autoSpaceDN w:val="0"/>
        <w:bidi w:val="0"/>
        <w:adjustRightInd w:val="0"/>
        <w:snapToGrid w:val="0"/>
        <w:spacing w:before="1" w:line="360" w:lineRule="auto"/>
        <w:ind w:left="499"/>
        <w:textAlignment w:val="baseline"/>
        <w:outlineLvl w:val="0"/>
        <w:rPr>
          <w:rFonts w:hint="eastAsia" w:ascii="黑体" w:hAnsi="黑体" w:eastAsia="黑体" w:cs="黑体"/>
          <w:b w:val="0"/>
          <w:bCs w:val="0"/>
          <w:spacing w:val="-7"/>
          <w:sz w:val="24"/>
          <w:szCs w:val="24"/>
        </w:rPr>
      </w:pPr>
      <w:bookmarkStart w:id="14" w:name="bookmark31"/>
      <w:bookmarkEnd w:id="14"/>
      <w:bookmarkStart w:id="15" w:name="_Toc24712"/>
      <w:r>
        <w:rPr>
          <w:rFonts w:hint="eastAsia" w:ascii="黑体" w:hAnsi="黑体" w:eastAsia="黑体" w:cs="黑体"/>
          <w:b w:val="0"/>
          <w:bCs w:val="0"/>
          <w:spacing w:val="-7"/>
          <w:sz w:val="24"/>
          <w:szCs w:val="24"/>
        </w:rPr>
        <w:t>五、培养目标</w:t>
      </w:r>
      <w:bookmarkEnd w:id="15"/>
    </w:p>
    <w:p w14:paraId="12909FA8">
      <w:pPr>
        <w:pStyle w:val="4"/>
        <w:keepNext w:val="0"/>
        <w:keepLines w:val="0"/>
        <w:pageBreakBefore w:val="0"/>
        <w:widowControl/>
        <w:kinsoku w:val="0"/>
        <w:wordWrap/>
        <w:overflowPunct/>
        <w:topLinePunct w:val="0"/>
        <w:autoSpaceDE w:val="0"/>
        <w:autoSpaceDN w:val="0"/>
        <w:bidi w:val="0"/>
        <w:adjustRightInd w:val="0"/>
        <w:snapToGrid w:val="0"/>
        <w:spacing w:line="360" w:lineRule="auto"/>
        <w:ind w:left="0" w:right="0" w:firstLine="472" w:firstLineChars="200"/>
        <w:jc w:val="both"/>
        <w:textAlignment w:val="baseline"/>
        <w:outlineLvl w:val="9"/>
        <w:rPr>
          <w:sz w:val="24"/>
          <w:szCs w:val="24"/>
        </w:rPr>
      </w:pPr>
      <w:bookmarkStart w:id="16" w:name="bookmark6"/>
      <w:bookmarkEnd w:id="16"/>
      <w:bookmarkStart w:id="17" w:name="bookmark7"/>
      <w:bookmarkEnd w:id="17"/>
      <w:r>
        <w:rPr>
          <w:rFonts w:hint="eastAsia"/>
          <w:spacing w:val="-2"/>
        </w:rPr>
        <w:t>以习近平新时代中国特色社会主义思想为指导，深入贯彻党的二十大精神，落实立德树人为根本任务，加强学校思想政治教育工作，持续深化“三全育人”综合改革，</w:t>
      </w:r>
      <w:r>
        <w:rPr>
          <w:rFonts w:hint="eastAsia" w:ascii="宋体" w:hAnsi="宋体" w:eastAsia="宋体" w:cs="宋体"/>
          <w:snapToGrid w:val="0"/>
          <w:color w:val="000000"/>
          <w:kern w:val="0"/>
          <w:sz w:val="24"/>
          <w:szCs w:val="24"/>
          <w:lang w:val="en-US" w:eastAsia="zh-CN" w:bidi="ar"/>
        </w:rPr>
        <w:t xml:space="preserve">本专业培养能够践行社会主义核心价值观，传承技能文明，德智体美劳全面发展，具有 </w:t>
      </w:r>
    </w:p>
    <w:p w14:paraId="67521875">
      <w:pPr>
        <w:keepNext w:val="0"/>
        <w:keepLines w:val="0"/>
        <w:pageBreakBefore w:val="0"/>
        <w:widowControl/>
        <w:suppressLineNumbers w:val="0"/>
        <w:wordWrap/>
        <w:topLinePunct w:val="0"/>
        <w:bidi w:val="0"/>
        <w:spacing w:line="360" w:lineRule="auto"/>
        <w:jc w:val="left"/>
        <w:outlineLvl w:val="9"/>
        <w:rPr>
          <w:rFonts w:hint="eastAsia"/>
          <w:spacing w:val="-2"/>
        </w:rPr>
      </w:pPr>
      <w:r>
        <w:rPr>
          <w:rFonts w:hint="eastAsia" w:ascii="宋体" w:hAnsi="宋体" w:eastAsia="宋体" w:cs="宋体"/>
          <w:snapToGrid w:val="0"/>
          <w:color w:val="000000"/>
          <w:kern w:val="0"/>
          <w:sz w:val="24"/>
          <w:szCs w:val="24"/>
          <w:lang w:val="en-US" w:eastAsia="zh-CN" w:bidi="ar"/>
        </w:rPr>
        <w:t>良好的人文素养、科学素养、数字素养、职业道德，爱岗敬业的职业精神和精益求精的工匠精神，扎实的文化基础知识、较强的就业创业能力和学习能力，掌握本专业知识和技术技能，具备职业综合素质和行动能力，面向汽车修理与维护行业的汽车机电维修、汽车维修接待等岗位（群），能够从事汽车使用、维护、检测以及修理等工作的技能人才。</w:t>
      </w:r>
    </w:p>
    <w:p w14:paraId="1CF63450">
      <w:pPr>
        <w:spacing w:before="2" w:line="360" w:lineRule="auto"/>
        <w:ind w:left="487"/>
        <w:outlineLvl w:val="0"/>
        <w:rPr>
          <w:rFonts w:hint="eastAsia" w:ascii="黑体" w:hAnsi="黑体" w:eastAsia="黑体" w:cs="黑体"/>
          <w:spacing w:val="-2"/>
          <w:sz w:val="24"/>
          <w:szCs w:val="24"/>
          <w:highlight w:val="none"/>
        </w:rPr>
      </w:pPr>
      <w:bookmarkStart w:id="18" w:name="bookmark8"/>
      <w:bookmarkEnd w:id="18"/>
      <w:bookmarkStart w:id="19" w:name="bookmark1"/>
      <w:bookmarkEnd w:id="19"/>
      <w:bookmarkStart w:id="20" w:name="_Toc5648"/>
      <w:bookmarkStart w:id="21" w:name="_Toc30417"/>
      <w:r>
        <w:rPr>
          <w:rFonts w:hint="eastAsia" w:ascii="黑体" w:hAnsi="黑体" w:eastAsia="黑体" w:cs="黑体"/>
          <w:spacing w:val="-2"/>
          <w:sz w:val="24"/>
          <w:szCs w:val="24"/>
          <w:highlight w:val="none"/>
          <w:lang w:eastAsia="zh-CN"/>
        </w:rPr>
        <w:t>六、</w:t>
      </w:r>
      <w:r>
        <w:rPr>
          <w:rFonts w:hint="eastAsia" w:ascii="黑体" w:hAnsi="黑体" w:eastAsia="黑体" w:cs="黑体"/>
          <w:spacing w:val="-2"/>
          <w:sz w:val="24"/>
          <w:szCs w:val="24"/>
          <w:highlight w:val="none"/>
        </w:rPr>
        <w:t>培养规格</w:t>
      </w:r>
      <w:bookmarkEnd w:id="20"/>
      <w:bookmarkEnd w:id="21"/>
    </w:p>
    <w:p w14:paraId="148C5DAB">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2" w:name="_Toc17899"/>
      <w:bookmarkStart w:id="23" w:name="_Toc1214"/>
      <w:r>
        <w:rPr>
          <w:rFonts w:hint="eastAsia" w:ascii="楷体" w:hAnsi="楷体" w:eastAsia="楷体" w:cs="楷体"/>
          <w:b/>
          <w:bCs/>
          <w:spacing w:val="-2"/>
          <w:highlight w:val="none"/>
          <w:lang w:val="en-US" w:eastAsia="zh-CN"/>
        </w:rPr>
        <w:t>（一）基本素质要求</w:t>
      </w:r>
      <w:bookmarkEnd w:id="22"/>
      <w:bookmarkEnd w:id="23"/>
    </w:p>
    <w:p w14:paraId="660B7271">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1.</w:t>
      </w:r>
      <w:r>
        <w:rPr>
          <w:rFonts w:hint="eastAsia"/>
          <w:spacing w:val="-2"/>
          <w:highlight w:val="none"/>
        </w:rPr>
        <w:t xml:space="preserve">坚定拥护中国共产党领导和中国特色社会主义制度，以习近平新时代中国特色社会主义思想为指导，践行社会主义核心价值观，具有坚定的理想信念、深厚的爱国情感和中华民族自豪感； </w:t>
      </w:r>
    </w:p>
    <w:p w14:paraId="090E3AD8">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2.</w:t>
      </w:r>
      <w:r>
        <w:rPr>
          <w:rFonts w:hint="eastAsia"/>
          <w:spacing w:val="-2"/>
          <w:highlight w:val="none"/>
        </w:rPr>
        <w:t>掌握与本专业对应职业活动相关的国家法律、行业规定，掌握绿色生产、环境保护、安全防护、质量管理等相关知识与技能，了解相关行业文化，具有爱岗敬业的职业精神，遵守职业道德准则和行为规范，具备社会责任感和担当精神；</w:t>
      </w:r>
    </w:p>
    <w:p w14:paraId="28218FCF">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4" w:name="_Toc12021"/>
      <w:bookmarkStart w:id="25" w:name="_Toc26116"/>
      <w:r>
        <w:rPr>
          <w:rFonts w:hint="eastAsia" w:ascii="楷体" w:hAnsi="楷体" w:eastAsia="楷体" w:cs="楷体"/>
          <w:b/>
          <w:bCs/>
          <w:spacing w:val="-2"/>
          <w:highlight w:val="none"/>
          <w:lang w:val="en-US" w:eastAsia="zh-CN"/>
        </w:rPr>
        <w:t>（二）基本知识要求</w:t>
      </w:r>
      <w:bookmarkEnd w:id="24"/>
      <w:bookmarkEnd w:id="25"/>
    </w:p>
    <w:p w14:paraId="0AEEA21F">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1.</w:t>
      </w:r>
      <w:r>
        <w:rPr>
          <w:rFonts w:hint="eastAsia"/>
          <w:spacing w:val="-2"/>
          <w:highlight w:val="none"/>
        </w:rPr>
        <w:t>掌握支撑本专业学习和可持续发展必备的语文、历史、数学、外语（英语等）、信息技术等文化基础知识，具有良好的人文素养与科学素养，具备职业生涯规划能力；</w:t>
      </w:r>
    </w:p>
    <w:p w14:paraId="795EB074">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2" w:firstLineChars="200"/>
        <w:jc w:val="both"/>
        <w:textAlignment w:val="baseline"/>
        <w:rPr>
          <w:rFonts w:hint="eastAsia"/>
          <w:spacing w:val="-2"/>
          <w:highlight w:val="none"/>
        </w:rPr>
      </w:pPr>
      <w:r>
        <w:rPr>
          <w:rFonts w:hint="eastAsia"/>
          <w:spacing w:val="-2"/>
          <w:highlight w:val="none"/>
          <w:lang w:val="en-US" w:eastAsia="zh-CN"/>
        </w:rPr>
        <w:t>2.</w:t>
      </w:r>
      <w:r>
        <w:rPr>
          <w:rFonts w:hint="eastAsia"/>
          <w:spacing w:val="-2"/>
          <w:highlight w:val="none"/>
        </w:rPr>
        <w:t>具有良好的语言表达能力、文字表达能力、沟通合作能力，具有较强的集体意识和团队合作意识，学习 1 门外语并结合本专业加以运用；</w:t>
      </w:r>
    </w:p>
    <w:p w14:paraId="4766D6B8">
      <w:pPr>
        <w:pStyle w:val="4"/>
        <w:keepNext w:val="0"/>
        <w:keepLines w:val="0"/>
        <w:pageBreakBefore w:val="0"/>
        <w:widowControl/>
        <w:kinsoku w:val="0"/>
        <w:wordWrap/>
        <w:overflowPunct/>
        <w:topLinePunct w:val="0"/>
        <w:autoSpaceDE w:val="0"/>
        <w:autoSpaceDN w:val="0"/>
        <w:bidi w:val="0"/>
        <w:adjustRightInd w:val="0"/>
        <w:snapToGrid w:val="0"/>
        <w:spacing w:line="360" w:lineRule="auto"/>
        <w:ind w:right="0" w:firstLine="474" w:firstLineChars="200"/>
        <w:jc w:val="both"/>
        <w:textAlignment w:val="baseline"/>
        <w:outlineLvl w:val="1"/>
        <w:rPr>
          <w:rFonts w:hint="eastAsia" w:ascii="楷体" w:hAnsi="楷体" w:eastAsia="楷体" w:cs="楷体"/>
          <w:b/>
          <w:bCs/>
          <w:spacing w:val="-2"/>
          <w:highlight w:val="none"/>
          <w:lang w:val="en-US" w:eastAsia="zh-CN"/>
        </w:rPr>
      </w:pPr>
      <w:bookmarkStart w:id="26" w:name="_Toc2044"/>
      <w:bookmarkStart w:id="27" w:name="_Toc3127"/>
      <w:r>
        <w:rPr>
          <w:rFonts w:hint="eastAsia" w:ascii="楷体" w:hAnsi="楷体" w:eastAsia="楷体" w:cs="楷体"/>
          <w:b/>
          <w:bCs/>
          <w:spacing w:val="-2"/>
          <w:highlight w:val="none"/>
          <w:lang w:val="en-US" w:eastAsia="zh-CN"/>
        </w:rPr>
        <w:t>（三）基本能力要求</w:t>
      </w:r>
      <w:bookmarkEnd w:id="26"/>
      <w:bookmarkEnd w:id="27"/>
    </w:p>
    <w:p w14:paraId="7C216656">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1.掌握新能源汽车机械常识、汽车电工电子基础、新能源汽车驱动电机结构和工作原理、新能源汽车动力电池结构和工作原理、新能源汽车底盘结构和工作原理方面的专业基础理论知识； </w:t>
      </w:r>
    </w:p>
    <w:p w14:paraId="3A0D1BC4">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2.掌握汽车维修常用工具、量具及检测仪器设备的选择原则和使用方法等技术技能，具有正确选择并熟练使用汽车维修常用工具、量具及检测仪器设备能力； </w:t>
      </w:r>
    </w:p>
    <w:p w14:paraId="5EAF8741">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3.掌握专业技术资料的查阅方法和途径等技术技能，具有阅读新能源汽车维修设备使用说明书和汽车维修技术资料能力； </w:t>
      </w:r>
    </w:p>
    <w:p w14:paraId="4F88DAC7">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4.掌握新能源汽车驱动电机、动力电池底盘、电气设备、车身等系统的清洁、检查、润滑、紧固、调整和更换等技术技能，具有新能源汽车维护作业能力； </w:t>
      </w:r>
    </w:p>
    <w:p w14:paraId="4C818D71">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5.掌握新能源汽车驱动电机总成的拆装与更换及其零部件的拆装、检测与更换等技术技能，具有新能源汽车驱动电机总成维修能力； </w:t>
      </w:r>
    </w:p>
    <w:p w14:paraId="360ED4B3">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6.掌握新能源汽车控制系统的检查、测试及其零部件和电路的检测、修理和更换等技术技能，具有新能源汽车控制系统维修能力； </w:t>
      </w:r>
    </w:p>
    <w:p w14:paraId="131D59F7">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7.掌握新能源汽车传动系统、行驶系统、转向系统、制动系统及其控制系统的检查、测试、调整，线路检测与修理，总成修理与更换等技术技能，具有新能源汽车底盘及底盘控制系统维修能力； </w:t>
      </w:r>
    </w:p>
    <w:p w14:paraId="796CF467">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8.掌握新能源汽车车身电气设备的拆装、检测、修理、更换及其电路的检测、修理和更换等技术技能，具有新能源汽车车身电气设备及其电路维修能力； </w:t>
      </w:r>
    </w:p>
    <w:p w14:paraId="4721A2FC">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9.掌握信息技术基础知识，具有适应本行业数字化和智能化发展需求的基本数字技能； </w:t>
      </w:r>
    </w:p>
    <w:p w14:paraId="3DDA1327">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10.具有终身学习和可持续发展的能力，具有一定的分析问题和解决问题的能力； </w:t>
      </w:r>
    </w:p>
    <w:p w14:paraId="2D908800">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11.掌握身体运动的基本知识和至少 1 项体育运动技能，养成良好的运动习惯、卫生习惯和行为习惯；具备一定的心理调适能力； </w:t>
      </w:r>
    </w:p>
    <w:p w14:paraId="4C6A8FC5">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 xml:space="preserve">12.掌握必备的美育知识，具有一定的文化修养、审美能力，形成至少 1 项艺术特长或爱好； </w:t>
      </w:r>
    </w:p>
    <w:p w14:paraId="338BC711">
      <w:pPr>
        <w:keepNext w:val="0"/>
        <w:keepLines w:val="0"/>
        <w:pageBreakBefore w:val="0"/>
        <w:widowControl/>
        <w:suppressLineNumbers w:val="0"/>
        <w:wordWrap/>
        <w:topLinePunct w:val="0"/>
        <w:bidi w:val="0"/>
        <w:spacing w:line="360" w:lineRule="auto"/>
        <w:ind w:firstLine="480" w:firstLineChars="200"/>
        <w:jc w:val="left"/>
        <w:outlineLvl w:val="9"/>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napToGrid w:val="0"/>
          <w:color w:val="000000"/>
          <w:kern w:val="0"/>
          <w:sz w:val="24"/>
          <w:szCs w:val="24"/>
          <w:lang w:val="en-US" w:eastAsia="zh-CN" w:bidi="ar"/>
        </w:rPr>
        <w:t>13.树立正确的劳动观，尊重劳动，热爱劳动，具备与本专业职业发展相适应的劳动素养，弘扬劳模精神、劳动精神、工匠精神，弘扬劳动光荣、技能宝贵、创造伟大的时代风尚。</w:t>
      </w:r>
    </w:p>
    <w:p w14:paraId="17A58082">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rPr>
      </w:pPr>
      <w:bookmarkStart w:id="28" w:name="_Toc25795"/>
      <w:r>
        <w:rPr>
          <w:rFonts w:hint="eastAsia" w:ascii="黑体" w:hAnsi="黑体" w:eastAsia="黑体" w:cs="黑体"/>
          <w:b w:val="0"/>
          <w:bCs w:val="0"/>
          <w:spacing w:val="-7"/>
          <w:sz w:val="24"/>
          <w:szCs w:val="24"/>
          <w:lang w:eastAsia="zh-CN"/>
        </w:rPr>
        <w:t>七</w:t>
      </w:r>
      <w:r>
        <w:rPr>
          <w:rFonts w:hint="eastAsia" w:ascii="黑体" w:hAnsi="黑体" w:eastAsia="黑体" w:cs="黑体"/>
          <w:b w:val="0"/>
          <w:bCs w:val="0"/>
          <w:spacing w:val="-7"/>
          <w:sz w:val="24"/>
          <w:szCs w:val="24"/>
        </w:rPr>
        <w:t>、课程体系</w:t>
      </w:r>
      <w:bookmarkEnd w:id="28"/>
    </w:p>
    <w:p w14:paraId="53A3D22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课程设置主要包括公共基础课程和专业（技能）课程。</w:t>
      </w:r>
    </w:p>
    <w:p w14:paraId="25C77BB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公共基础课是本专业需学习的有关基础理论、基本知识和基本素养的课程。专业（技能）课程是支撑学生达到本专业培养目标，掌握相应专业领域知识、能力、素质的课程。课程设置及教学内容基于国家相关文件规定，强化对培养目标与培养规格的支撑，融入有关国家教学标准要求，融入行业企业新技术、新工艺、新规范，注重与职业面向、职业能力要求、“1+X”证书以及岗位工作任务的对接。</w:t>
      </w:r>
    </w:p>
    <w:p w14:paraId="65857ADA">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黑体" w:hAnsi="黑体" w:eastAsia="黑体" w:cs="黑体"/>
          <w:b w:val="0"/>
          <w:bCs w:val="0"/>
          <w:spacing w:val="-7"/>
          <w:sz w:val="24"/>
          <w:szCs w:val="24"/>
        </w:rPr>
      </w:pPr>
      <w:bookmarkStart w:id="29" w:name="_Toc4494"/>
      <w:bookmarkStart w:id="30" w:name="_Toc7643"/>
      <w:bookmarkStart w:id="31" w:name="_Toc22429"/>
      <w:r>
        <w:rPr>
          <w:rFonts w:hint="eastAsia" w:ascii="楷体" w:hAnsi="楷体" w:eastAsia="楷体" w:cs="楷体"/>
          <w:b/>
          <w:bCs/>
          <w:color w:val="000000"/>
          <w:sz w:val="24"/>
          <w:szCs w:val="24"/>
          <w:highlight w:val="none"/>
        </w:rPr>
        <w:t>公共基础课程</w:t>
      </w:r>
      <w:bookmarkEnd w:id="29"/>
      <w:bookmarkEnd w:id="30"/>
      <w:bookmarkEnd w:id="31"/>
    </w:p>
    <w:p w14:paraId="731713A9">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b/>
          <w:bCs/>
          <w:color w:val="000000"/>
          <w:sz w:val="24"/>
          <w:szCs w:val="24"/>
          <w:highlight w:val="none"/>
          <w:lang w:eastAsia="zh-CN"/>
        </w:rPr>
      </w:pPr>
      <w:bookmarkStart w:id="32" w:name="bookmark10"/>
      <w:bookmarkEnd w:id="32"/>
      <w:bookmarkStart w:id="33" w:name="bookmark1"/>
      <w:bookmarkEnd w:id="33"/>
      <w:bookmarkStart w:id="34" w:name="bookmark9"/>
      <w:bookmarkEnd w:id="34"/>
      <w:bookmarkStart w:id="35" w:name="_Toc7855"/>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公共基础课</w:t>
      </w:r>
      <w:bookmarkEnd w:id="35"/>
    </w:p>
    <w:p w14:paraId="31CAC531">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本专业公共基础课包括思想政治、</w:t>
      </w:r>
      <w:r>
        <w:rPr>
          <w:rFonts w:hint="eastAsia" w:ascii="宋体" w:hAnsi="宋体" w:eastAsia="宋体" w:cs="宋体"/>
          <w:color w:val="auto"/>
          <w:sz w:val="24"/>
          <w:szCs w:val="24"/>
          <w:highlight w:val="none"/>
          <w:lang w:val="en-US" w:eastAsia="zh-CN"/>
        </w:rPr>
        <w:t>习近平新时代中国特色社会主义（读本）、</w:t>
      </w:r>
      <w:r>
        <w:rPr>
          <w:rFonts w:hint="eastAsia" w:ascii="宋体" w:hAnsi="宋体" w:eastAsia="宋体" w:cs="宋体"/>
          <w:sz w:val="24"/>
          <w:szCs w:val="24"/>
          <w:highlight w:val="none"/>
          <w:lang w:eastAsia="zh-CN"/>
        </w:rPr>
        <w:t>语文、历史、数学、英语、信息技术、体育与健康、艺术、劳动教育、物理等十一门必修课程。</w:t>
      </w:r>
      <w:r>
        <w:rPr>
          <w:rFonts w:hint="eastAsia" w:ascii="宋体" w:hAnsi="宋体" w:eastAsia="宋体" w:cs="宋体"/>
          <w:sz w:val="24"/>
          <w:szCs w:val="24"/>
          <w:highlight w:val="none"/>
        </w:rPr>
        <w:t>通过学习公共基础必修课，</w:t>
      </w:r>
      <w:r>
        <w:rPr>
          <w:rFonts w:hint="eastAsia" w:ascii="宋体" w:hAnsi="宋体" w:eastAsia="宋体" w:cs="宋体"/>
          <w:sz w:val="24"/>
          <w:szCs w:val="24"/>
          <w:highlight w:val="none"/>
          <w:lang w:eastAsia="zh-CN"/>
        </w:rPr>
        <w:t>主要为</w:t>
      </w:r>
      <w:r>
        <w:rPr>
          <w:rFonts w:hint="eastAsia" w:ascii="宋体" w:hAnsi="宋体" w:eastAsia="宋体" w:cs="宋体"/>
          <w:sz w:val="24"/>
          <w:szCs w:val="24"/>
          <w:highlight w:val="none"/>
        </w:rPr>
        <w:t>学生继续学习创造条件</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基本素养打好基础。</w:t>
      </w:r>
    </w:p>
    <w:p w14:paraId="314ED056">
      <w:pPr>
        <w:keepNext w:val="0"/>
        <w:keepLines w:val="0"/>
        <w:pageBreakBefore w:val="0"/>
        <w:wordWrap/>
        <w:topLinePunct w:val="0"/>
        <w:bidi w:val="0"/>
        <w:adjustRightInd w:val="0"/>
        <w:spacing w:line="360" w:lineRule="auto"/>
        <w:jc w:val="center"/>
        <w:outlineLvl w:val="9"/>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表</w:t>
      </w:r>
      <w:r>
        <w:rPr>
          <w:rFonts w:hint="eastAsia" w:ascii="宋体" w:hAnsi="宋体" w:eastAsia="宋体" w:cs="宋体"/>
          <w:color w:val="000000" w:themeColor="text1"/>
          <w:sz w:val="24"/>
          <w:szCs w:val="24"/>
          <w:highlight w:val="none"/>
          <w:lang w:val="en-US" w:eastAsia="zh-CN"/>
          <w14:textFill>
            <w14:solidFill>
              <w14:schemeClr w14:val="tx1"/>
            </w14:solidFill>
          </w14:textFill>
        </w:rPr>
        <w:t>2</w:t>
      </w:r>
      <w:r>
        <w:rPr>
          <w:rFonts w:hint="eastAsia" w:ascii="宋体" w:hAnsi="宋体" w:eastAsia="宋体" w:cs="宋体"/>
          <w:color w:val="000000" w:themeColor="text1"/>
          <w:sz w:val="24"/>
          <w:szCs w:val="24"/>
          <w:highlight w:val="none"/>
          <w14:textFill>
            <w14:solidFill>
              <w14:schemeClr w14:val="tx1"/>
            </w14:solidFill>
          </w14:textFill>
        </w:rPr>
        <w:t>：公共基础必修课设置</w:t>
      </w:r>
    </w:p>
    <w:tbl>
      <w:tblPr>
        <w:tblStyle w:val="12"/>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43EB4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5" w:type="dxa"/>
            <w:vAlign w:val="center"/>
          </w:tcPr>
          <w:p w14:paraId="0A0BBCF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65782EC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07F81D0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21532D0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7770F87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0CDF9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79DB603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p>
        </w:tc>
        <w:tc>
          <w:tcPr>
            <w:tcW w:w="1170" w:type="dxa"/>
            <w:vAlign w:val="center"/>
          </w:tcPr>
          <w:p w14:paraId="27DE50E4">
            <w:pPr>
              <w:keepNext w:val="0"/>
              <w:keepLines w:val="0"/>
              <w:widowControl/>
              <w:suppressLineNumbers w:val="0"/>
              <w:jc w:val="center"/>
              <w:textAlignment w:val="center"/>
              <w:rPr>
                <w:rFonts w:hint="eastAsia" w:ascii="宋体" w:hAnsi="宋体" w:eastAsia="宋体" w:cs="宋体"/>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中国特色社会主义</w:t>
            </w:r>
          </w:p>
        </w:tc>
        <w:tc>
          <w:tcPr>
            <w:tcW w:w="3307" w:type="dxa"/>
            <w:vAlign w:val="center"/>
          </w:tcPr>
          <w:p w14:paraId="1852A29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Arial" w:cs="Times New Roman"/>
                <w:snapToGrid w:val="0"/>
                <w:color w:val="000000"/>
                <w:kern w:val="0"/>
                <w:sz w:val="24"/>
                <w:szCs w:val="24"/>
                <w:highlight w:val="none"/>
                <w:lang w:val="en-US" w:eastAsia="zh-CN" w:bidi="ar-SA"/>
              </w:rPr>
            </w:pPr>
            <w:r>
              <w:rPr>
                <w:rFonts w:hint="eastAsia" w:ascii="仿宋" w:hAnsi="仿宋" w:eastAsia="Arial" w:cs="Times New Roman"/>
                <w:snapToGrid w:val="0"/>
                <w:color w:val="000000"/>
                <w:kern w:val="0"/>
                <w:sz w:val="24"/>
                <w:szCs w:val="24"/>
                <w:highlight w:val="none"/>
                <w:lang w:val="en-US" w:eastAsia="en-US" w:bidi="ar-SA"/>
              </w:rPr>
              <w:t>以习近平新时代中国特色社会主义思想为指导，阐释中国特色社会主义的开创与发展，明确中国特色社会主义进入新时代的历史方位，阐明中国特色社会主义建设“五位一体”总体布局的基本内容，引导学生树立对马克思主义的信仰、对中国特色社会主义的信念、对中华民族伟大复兴中国梦的信心，坚定中国特色社会主义道路自信、理论自信、制度自信、文化自信，把爱国情、强国志、报国行自觉融入坚持和发展中国特色社会主义事业、建设社会主义现代化强国、实现中华民族伟大复兴的奋斗之中</w:t>
            </w:r>
            <w:r>
              <w:rPr>
                <w:rFonts w:hint="eastAsia" w:ascii="仿宋" w:hAnsi="仿宋" w:eastAsia="Arial" w:cs="Times New Roman"/>
                <w:snapToGrid w:val="0"/>
                <w:color w:val="000000"/>
                <w:kern w:val="0"/>
                <w:sz w:val="24"/>
                <w:szCs w:val="24"/>
                <w:highlight w:val="none"/>
                <w:lang w:val="en-US" w:eastAsia="zh-CN" w:bidi="ar-SA"/>
              </w:rPr>
              <w:t>。</w:t>
            </w:r>
          </w:p>
          <w:p w14:paraId="001DEDCF">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p>
        </w:tc>
        <w:tc>
          <w:tcPr>
            <w:tcW w:w="3694" w:type="dxa"/>
            <w:vAlign w:val="center"/>
          </w:tcPr>
          <w:p w14:paraId="362BF058">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思想政治课程标准》（2020版）开设，学生能够正确认识中华民族近代以来从站起来到富起来再到强起来的发展进程；明确中国特色社会主义制度的显著优势，坚决拥护中国共产党的领导，坚定中国特色社会主义道路自信、理论自信、制度自信、文化自信；认清自己在实现中国特色社会主义新时代发展目标中的历史机遇与使命担当，以热爱祖国为立身之本、成才之基，在新时代新征程中健康成长、成才报国。</w:t>
            </w:r>
          </w:p>
        </w:tc>
        <w:tc>
          <w:tcPr>
            <w:tcW w:w="857" w:type="dxa"/>
            <w:vAlign w:val="center"/>
          </w:tcPr>
          <w:p w14:paraId="293FDEB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3C6F81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187F4C80">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170" w:type="dxa"/>
            <w:vAlign w:val="center"/>
          </w:tcPr>
          <w:p w14:paraId="3779C5BA">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心理健康与职业生涯</w:t>
            </w:r>
          </w:p>
        </w:tc>
        <w:tc>
          <w:tcPr>
            <w:tcW w:w="3307" w:type="dxa"/>
            <w:vAlign w:val="center"/>
          </w:tcPr>
          <w:p w14:paraId="7A7CFFB2">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基于社会发展对中职学生心理素质、职业生涯发展提出的新要求以及心理和谐、职业成才的培养目标，阐释心理健康知识，引导学生树立心理健康意识，掌握心理调适和职业生涯规划的方法，帮助学生正确处理生活、学习、成长和求职就业中遇到的问题，培育自立自强、敬业乐群的心理品质和自尊自信、理性平和、积极向上的良好心态，根据社会发展需要和学生心理特点进行职业生涯指导，为职业生涯发展奠定基础。</w:t>
            </w:r>
          </w:p>
        </w:tc>
        <w:tc>
          <w:tcPr>
            <w:tcW w:w="3694" w:type="dxa"/>
            <w:vAlign w:val="center"/>
          </w:tcPr>
          <w:p w14:paraId="63BC92FA">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应能结合活动体验和社会实践，了解心理健康、职业生涯的基本知识，树立心理健康意识，掌握心理调适方法，形成适应时代发展的职业理想和职业发展观，探寻符合自身实际和社会发展的积极生活目标，养成自立自强、敬业乐群的心理品质和自尊自信、理性平和、积极向上的良好心态，提高应对挫折与适应社会的能力，掌握制订和执行职业生涯规划的方法，提升职业素养，为顺利就业创业创造条件。</w:t>
            </w:r>
          </w:p>
        </w:tc>
        <w:tc>
          <w:tcPr>
            <w:tcW w:w="857" w:type="dxa"/>
            <w:vAlign w:val="center"/>
          </w:tcPr>
          <w:p w14:paraId="6F6C352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15485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67AD5F5F">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1170" w:type="dxa"/>
            <w:vAlign w:val="center"/>
          </w:tcPr>
          <w:p w14:paraId="07F6FFDE">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哲学与人生</w:t>
            </w:r>
          </w:p>
        </w:tc>
        <w:tc>
          <w:tcPr>
            <w:tcW w:w="3307" w:type="dxa"/>
            <w:vAlign w:val="center"/>
          </w:tcPr>
          <w:p w14:paraId="5C389126">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阐明马克思主义哲学是科学的世界观和方法论，讲述辩证唯物主义和历史唯物主义基本观点及其对人生成长的意义；阐述社会生活及个人成长中进行正确价值判断和行为选择的意义；引导学生弘扬和践行社会主义核心价值观，为学生成长奠定正确的世界观、人生观和价值观基础。</w:t>
            </w:r>
          </w:p>
        </w:tc>
        <w:tc>
          <w:tcPr>
            <w:tcW w:w="3694" w:type="dxa"/>
            <w:vAlign w:val="center"/>
          </w:tcPr>
          <w:p w14:paraId="26B548E8">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通过本部分内容的学习，学生能够了解马克思主义哲学基本原理，运用辩证唯物主义和历史唯物主义观点认识世界，坚持实践第一的观点，一切从实际出发、实事求是，学会用具体问题具体分析等方法，正确认识社会问题，分析和处理个人成长中的人生问题，在生活中做出正确的价值判断和行为选择，自觉弘扬和践行社会主义核心价值观，为形成正确的世界观、人生观和价值观奠定基础。</w:t>
            </w:r>
          </w:p>
        </w:tc>
        <w:tc>
          <w:tcPr>
            <w:tcW w:w="857" w:type="dxa"/>
            <w:vAlign w:val="center"/>
          </w:tcPr>
          <w:p w14:paraId="04FEAD25">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78A5A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23F0009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1170" w:type="dxa"/>
            <w:vAlign w:val="center"/>
          </w:tcPr>
          <w:p w14:paraId="32E5AD25">
            <w:pPr>
              <w:keepNext w:val="0"/>
              <w:keepLines w:val="0"/>
              <w:widowControl/>
              <w:suppressLineNumbers w:val="0"/>
              <w:jc w:val="center"/>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i w:val="0"/>
                <w:iCs w:val="0"/>
                <w:snapToGrid w:val="0"/>
                <w:color w:val="000000"/>
                <w:kern w:val="0"/>
                <w:sz w:val="24"/>
                <w:szCs w:val="24"/>
                <w:u w:val="none"/>
                <w:lang w:val="en-US" w:eastAsia="zh-CN" w:bidi="ar"/>
              </w:rPr>
              <w:t>职业道德与法治</w:t>
            </w:r>
          </w:p>
        </w:tc>
        <w:tc>
          <w:tcPr>
            <w:tcW w:w="3307" w:type="dxa"/>
            <w:vAlign w:val="center"/>
          </w:tcPr>
          <w:p w14:paraId="47F58761">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着眼于提高中职学生的职业道德素质和法治素养，对学生进行职业道德和法治教育。帮助学生理解全面依法治国的总目标和基本要求，了解职业道德和法律规范，增强职业道德和法治意识，养成爱岗敬业、依法办事的思维方式和行为习惯。</w:t>
            </w:r>
          </w:p>
        </w:tc>
        <w:tc>
          <w:tcPr>
            <w:tcW w:w="3694" w:type="dxa"/>
            <w:vAlign w:val="center"/>
          </w:tcPr>
          <w:p w14:paraId="3EC361B5">
            <w:pPr>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思想政治课程标准》（2020版）开设，学生能够理解全面依法治国的总目标，了解我国新时代加强公民道德建设、践行职业道德的主要内容及其重要意义；能够掌握加强职业道德修养的主要方法，初步具备依法维权和有序参与公共事务的能力；能够根据社会发展需要、结合自身实际，以道德和法律的要求规范自己的言行，做恪守道德规范、尊法学法守法用法的好公民。</w:t>
            </w:r>
          </w:p>
        </w:tc>
        <w:tc>
          <w:tcPr>
            <w:tcW w:w="857" w:type="dxa"/>
            <w:vAlign w:val="center"/>
          </w:tcPr>
          <w:p w14:paraId="3593BC6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097A14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5D5F94F0">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1170" w:type="dxa"/>
            <w:vAlign w:val="center"/>
          </w:tcPr>
          <w:p w14:paraId="3D1EE96D">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color w:val="auto"/>
                <w:sz w:val="24"/>
                <w:szCs w:val="24"/>
                <w:highlight w:val="none"/>
                <w:lang w:val="en-US" w:eastAsia="zh-CN"/>
              </w:rPr>
              <w:t>习近平新时代中国特色社会主义（读本）</w:t>
            </w:r>
          </w:p>
        </w:tc>
        <w:tc>
          <w:tcPr>
            <w:tcW w:w="3307" w:type="dxa"/>
            <w:vAlign w:val="center"/>
          </w:tcPr>
          <w:p w14:paraId="4BD64171">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color w:val="auto"/>
                <w:kern w:val="2"/>
                <w:sz w:val="24"/>
                <w:szCs w:val="24"/>
                <w:highlight w:val="none"/>
                <w:lang w:val="en-US" w:eastAsia="zh-CN" w:bidi="ar-SA"/>
              </w:rPr>
              <w:t>引导学生坚定中国特色社会主义道路、理论、制度、文化自信，掌握习近平新时代特色社会主义理论体系，中国共产党把马克思主义基本原理与中国具体实际相结合，实现马克思主义中国化的最新理论成果。解放和发展生产力，促进人的全面发展，逐步实现全体人民共同富裕，建设成为富强民主文明和谐美丽的社会主义现代化强国。督促学生在实现中国梦的生动实践中放飞青春梦想，在为人民利益的不懈奋斗中书写人生篇章。</w:t>
            </w:r>
          </w:p>
        </w:tc>
        <w:tc>
          <w:tcPr>
            <w:tcW w:w="3694" w:type="dxa"/>
            <w:vAlign w:val="center"/>
          </w:tcPr>
          <w:p w14:paraId="72E4ED55">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掌握习近平新时代中国特色社会主义思想科学体系、精神实质、重大意义，增强学习的系统性、实效性，落实立德树人根本任务，按照教育部和省教育厅要求开设。</w:t>
            </w:r>
          </w:p>
        </w:tc>
        <w:tc>
          <w:tcPr>
            <w:tcW w:w="857" w:type="dxa"/>
            <w:vAlign w:val="center"/>
          </w:tcPr>
          <w:p w14:paraId="0DC66F0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0581A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63E6B55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1170" w:type="dxa"/>
            <w:vAlign w:val="center"/>
          </w:tcPr>
          <w:p w14:paraId="09ADE42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语文</w:t>
            </w:r>
          </w:p>
        </w:tc>
        <w:tc>
          <w:tcPr>
            <w:tcW w:w="3307" w:type="dxa"/>
            <w:vAlign w:val="center"/>
          </w:tcPr>
          <w:p w14:paraId="67242111">
            <w:pPr>
              <w:pStyle w:val="16"/>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语文课程是各专业学生必修的公共基础课程，其任务是在义务教育的基础上，进一步培养学生掌握基础知识和基本技能，强化关键能力，使学生具有较强的语言文字运用能力、思维能力和审美能力，传承和弘扬中华优秀文化，接受人类进步文化，汲取人类文明优秀成果，形成良好的思想道德品质、科学素养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为学生学好专业知识与技能，提高就业创业能力和终身发展能力，成为全面发展的高素质劳动者和技术技能人才奠定基础。</w:t>
            </w:r>
          </w:p>
        </w:tc>
        <w:tc>
          <w:tcPr>
            <w:tcW w:w="3694" w:type="dxa"/>
            <w:vAlign w:val="center"/>
          </w:tcPr>
          <w:p w14:paraId="3439EA0F">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语文课程标准》开设，基于语文学科核心素养实施教学，强化学生关键能力培养，掌握中国革命传统作品、社会主义先进文化作品、古代诗文作品、中外文学作品，实用性阅读与交流等15个专题内容，引导学生树立正确的历史观、民族观、国家观、文化观，培养爱党爱国爱人民的深厚感情和积极的人生态度，增强社会责任感和历史使命感。</w:t>
            </w:r>
          </w:p>
        </w:tc>
        <w:tc>
          <w:tcPr>
            <w:tcW w:w="857" w:type="dxa"/>
            <w:vAlign w:val="center"/>
          </w:tcPr>
          <w:p w14:paraId="0C3C5C3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216</w:t>
            </w:r>
          </w:p>
        </w:tc>
      </w:tr>
      <w:tr w14:paraId="6999C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11E86E0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1170" w:type="dxa"/>
            <w:vAlign w:val="center"/>
          </w:tcPr>
          <w:p w14:paraId="3E4BE815">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历史</w:t>
            </w:r>
          </w:p>
        </w:tc>
        <w:tc>
          <w:tcPr>
            <w:tcW w:w="3307" w:type="dxa"/>
            <w:vAlign w:val="center"/>
          </w:tcPr>
          <w:p w14:paraId="2079B8CD">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落实立徳树人的根本任务，使学生通过历史课程的学习，掌握必备的历史知识，形成历史学 科核心素养（历史学科核心素养包括唯物史观、时空观念、史 料实证、历史解释、家国情怀五大方面）。在立徳树人这个最 终目标上，课标强调通过历史课程的教学，要使学生增强历史 使命感和社会责任感；弘扬以爱国主义为核心的民族精神和以改革创新为核心的时代精神；树立正确的历史观、民族观、国 家观和文化观，抵制数典忘祖、妄自菲薄的历史虚无主义；结 合职业学校特点，要使学生塑造健全人格，养成职业精神，培 养徳智体美劳全面发展的社会主义建设者和接班人。</w:t>
            </w:r>
          </w:p>
        </w:tc>
        <w:tc>
          <w:tcPr>
            <w:tcW w:w="3694" w:type="dxa"/>
            <w:vAlign w:val="center"/>
          </w:tcPr>
          <w:p w14:paraId="7FE3C880">
            <w:pPr>
              <w:pStyle w:val="16"/>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历史课程标准》（2020版）开设，通过对中国历史和世界历史的学习，使学生掌握必备的历史知识；以唯物史观为指导，促进学生进一步了解人类社会形态从低级到高级发展的基本脉络、基本规律和优秀文化成果;从历史的角度了解和思考人与人、人与社会、人与自然的关系，增强历史使命感和社会责任感;进一步弘扬以爱国主义为核心的民族精神和以改革创新为核心的时代精神，培育和践行社会主义核心价值观;树立正确的历史观、民族观、国家观和文化观;塑造健全的人格，养成职业精神，培养德智体美劳全面发展的社会主义建设者和接班人</w:t>
            </w:r>
            <w:r>
              <w:rPr>
                <w:rFonts w:hint="eastAsia" w:ascii="仿宋" w:hAnsi="仿宋" w:eastAsia="宋体" w:cs="Times New Roman"/>
                <w:color w:val="000000"/>
                <w:sz w:val="24"/>
                <w:szCs w:val="24"/>
                <w:highlight w:val="none"/>
                <w:lang w:eastAsia="zh-CN"/>
              </w:rPr>
              <w:t>。</w:t>
            </w:r>
          </w:p>
        </w:tc>
        <w:tc>
          <w:tcPr>
            <w:tcW w:w="857" w:type="dxa"/>
            <w:vAlign w:val="center"/>
          </w:tcPr>
          <w:p w14:paraId="5CA645B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72</w:t>
            </w:r>
          </w:p>
        </w:tc>
      </w:tr>
      <w:tr w14:paraId="3FE4B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110C71BD">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w:t>
            </w:r>
          </w:p>
        </w:tc>
        <w:tc>
          <w:tcPr>
            <w:tcW w:w="1170" w:type="dxa"/>
            <w:vAlign w:val="center"/>
          </w:tcPr>
          <w:p w14:paraId="3C91C8B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数学</w:t>
            </w:r>
          </w:p>
        </w:tc>
        <w:tc>
          <w:tcPr>
            <w:tcW w:w="3307" w:type="dxa"/>
            <w:vAlign w:val="center"/>
          </w:tcPr>
          <w:p w14:paraId="0683147F">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数学课程的目标是全面贯彻党的教育方针，落实立德树人根本任务。在完成义务教育的基础上，通过中等职业学校数学课程的学习，使学生获得继续学习、未来工作和发展所必需的数学基础知识、基本技能、基本思想和基本活动经验，具备一定的从数学角度发现和提出问题的能力、运用数学知识和思想方法分析和解决问題的能力。通过中等职业学校数学课程的学习，提高学生学习数学的兴趣，增强学好数学的主动性和自信心，养成理性思维、敢于质疑、善于思考的科学精神和精益求精的工匠精神，加深对数学的科学价值、应用价值、文化价值和审美价值的认识在数学知识学习和数学能力培养的过程中，使学生逐步提高数学运算、直观想象、逻辑推理、数学抽象、数据分析和数学建模等数学学科核心素养，初步学会用数学眼光观察世界、用数学思维分析世界、用数学语言表达世界。</w:t>
            </w:r>
          </w:p>
        </w:tc>
        <w:tc>
          <w:tcPr>
            <w:tcW w:w="3694" w:type="dxa"/>
            <w:vAlign w:val="center"/>
          </w:tcPr>
          <w:p w14:paraId="039765FC">
            <w:pPr>
              <w:keepNext w:val="0"/>
              <w:keepLines w:val="0"/>
              <w:pageBreakBefore w:val="0"/>
              <w:widowControl w:val="0"/>
              <w:wordWrap/>
              <w:topLinePunct w:val="0"/>
              <w:bidi w:val="0"/>
              <w:spacing w:line="360" w:lineRule="auto"/>
              <w:jc w:val="both"/>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napToGrid w:val="0"/>
                <w:color w:val="000000"/>
                <w:kern w:val="0"/>
                <w:sz w:val="24"/>
                <w:szCs w:val="24"/>
                <w:highlight w:val="none"/>
                <w:lang w:val="en-US" w:eastAsia="en-US" w:bidi="ar-SA"/>
              </w:rPr>
              <w:t xml:space="preserve">依据《中等职业学校数学课程标准》（2020版）开设，以“立德树人”为根本任务，夯实代数、几何等职业岗位必备数学基础，培育学生科学精神与责任意识。学习掌握集合、不等式、函数、指数函数与对数函数、三角函数、数列、平面向量、直线与圆的方程、立体几何、概率与统计初步等模块；运用信息化工具分层指导，提升学生数学思维与问题解决能力。实现知识传授、能力培养与价值塑造相统一，为专业成长与职业发展筑牢基础。 </w:t>
            </w:r>
          </w:p>
          <w:p w14:paraId="17471A35">
            <w:pPr>
              <w:pStyle w:val="16"/>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lang w:eastAsia="zh-CN"/>
              </w:rPr>
            </w:pPr>
          </w:p>
        </w:tc>
        <w:tc>
          <w:tcPr>
            <w:tcW w:w="857" w:type="dxa"/>
            <w:vAlign w:val="center"/>
          </w:tcPr>
          <w:p w14:paraId="20559D00">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1BF89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5ED1E87E">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9</w:t>
            </w:r>
          </w:p>
        </w:tc>
        <w:tc>
          <w:tcPr>
            <w:tcW w:w="1170" w:type="dxa"/>
            <w:vAlign w:val="center"/>
          </w:tcPr>
          <w:p w14:paraId="6F7CA89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英语</w:t>
            </w:r>
          </w:p>
        </w:tc>
        <w:tc>
          <w:tcPr>
            <w:tcW w:w="3307" w:type="dxa"/>
            <w:vAlign w:val="center"/>
          </w:tcPr>
          <w:p w14:paraId="55FE2A05">
            <w:pPr>
              <w:pStyle w:val="16"/>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中等职业学校英语课程的目标是全面贯彻党的教育方针，落实立德树人根本任务，在义务教育的基础上，进一步激发学生英语学习的兴趣，帮助学生掌握基 础知识和基本技能，发展英语学科核心素养，为学生的职业生涯、继续学习和终 身发展奠定基础。</w:t>
            </w:r>
          </w:p>
          <w:p w14:paraId="16ED9943">
            <w:pPr>
              <w:pStyle w:val="16"/>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职场语言沟通目标：在日常英语的基础上，围绕职场相关主题，能运用所学 语言知识，理解不同类型语篇所传递的意义和情感；能以口头或书面形式进行基 本的沟通；能在职场中综合运用语言知识和技能进行交流。</w:t>
            </w:r>
          </w:p>
          <w:p w14:paraId="0E767A62">
            <w:pPr>
              <w:pStyle w:val="16"/>
              <w:keepNext w:val="0"/>
              <w:keepLines w:val="0"/>
              <w:pageBreakBefore w:val="0"/>
              <w:widowControl w:val="0"/>
              <w:kinsoku w:val="0"/>
              <w:wordWrap/>
              <w:overflowPunct w:val="0"/>
              <w:topLinePunct w:val="0"/>
              <w:autoSpaceDE/>
              <w:autoSpaceDN/>
              <w:bidi w:val="0"/>
              <w:adjustRightInd/>
              <w:snapToGrid/>
              <w:spacing w:line="360" w:lineRule="auto"/>
              <w:ind w:left="0" w:right="0" w:firstLine="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思维差异感知目标：能理解英语在表达方式上体现出的中西思维差异；能理解英语在逻辑论证上体现出的中西思维差异；在了解中西思维差异的基础上，能 客观对待不同观点，做出正确价值判断。</w:t>
            </w:r>
          </w:p>
          <w:p w14:paraId="72AA2149">
            <w:pPr>
              <w:pStyle w:val="16"/>
              <w:keepNext w:val="0"/>
              <w:keepLines w:val="0"/>
              <w:pageBreakBefore w:val="0"/>
              <w:widowControl w:val="0"/>
              <w:kinsoku w:val="0"/>
              <w:wordWrap/>
              <w:overflowPunct w:val="0"/>
              <w:topLinePunct w:val="0"/>
              <w:autoSpaceDE/>
              <w:autoSpaceDN/>
              <w:bidi w:val="0"/>
              <w:adjustRightInd/>
              <w:snapToGrid/>
              <w:spacing w:line="360" w:lineRule="auto"/>
              <w:ind w:left="0" w:right="0" w:hanging="2"/>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跨文化理解目标：能了解世界文化的多样性；能了解中外文化及中外企业文 化；能进行基本的跨文化交流；能用英语讲述中国故事，促进中华优秀文化传播。</w:t>
            </w:r>
          </w:p>
          <w:p w14:paraId="554B4A7D">
            <w:pPr>
              <w:pStyle w:val="16"/>
              <w:keepNext w:val="0"/>
              <w:keepLines w:val="0"/>
              <w:pageBreakBefore w:val="0"/>
              <w:widowControl w:val="0"/>
              <w:kinsoku w:val="0"/>
              <w:wordWrap/>
              <w:overflowPunct w:val="0"/>
              <w:topLinePunct w:val="0"/>
              <w:autoSpaceDE/>
              <w:autoSpaceDN/>
              <w:bidi w:val="0"/>
              <w:adjustRightInd/>
              <w:snapToGrid/>
              <w:spacing w:line="360" w:lineRule="auto"/>
              <w:ind w:left="0" w:leftChars="0" w:right="0" w:rightChars="0" w:hanging="2" w:firstLineChars="0"/>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自主学习目标：能树立正确的英语学习观，具有明确的学习目标；能多渠道 获取英语学习资源；能有效规划个人的学习，选择恰当的学习策略和方法；能监 控、评价、反思和调整自己的学习内容和进程，提高学习效率。</w:t>
            </w:r>
          </w:p>
        </w:tc>
        <w:tc>
          <w:tcPr>
            <w:tcW w:w="3694" w:type="dxa"/>
            <w:vAlign w:val="center"/>
          </w:tcPr>
          <w:p w14:paraId="112879F4">
            <w:pPr>
              <w:pStyle w:val="16"/>
              <w:keepNext w:val="0"/>
              <w:keepLines w:val="0"/>
              <w:pageBreakBefore w:val="0"/>
              <w:widowControl w:val="0"/>
              <w:kinsoku w:val="0"/>
              <w:wordWrap/>
              <w:overflowPunct w:val="0"/>
              <w:topLinePunct w:val="0"/>
              <w:bidi w:val="0"/>
              <w:spacing w:before="35" w:line="360" w:lineRule="auto"/>
              <w:ind w:right="-44" w:rightChars="0"/>
              <w:outlineLvl w:val="9"/>
              <w:rPr>
                <w:rFonts w:hint="eastAsia" w:ascii="宋体" w:hAnsi="宋体" w:eastAsia="宋体" w:cs="宋体"/>
                <w:sz w:val="24"/>
                <w:szCs w:val="24"/>
                <w:highlight w:val="none"/>
              </w:rPr>
            </w:pPr>
            <w:r>
              <w:rPr>
                <w:rFonts w:hint="eastAsia" w:ascii="宋体" w:hAnsi="宋体" w:eastAsia="宋体" w:cs="宋体"/>
                <w:snapToGrid w:val="0"/>
                <w:color w:val="000000"/>
                <w:kern w:val="0"/>
                <w:sz w:val="24"/>
                <w:szCs w:val="24"/>
                <w:highlight w:val="none"/>
                <w:lang w:val="en-US" w:eastAsia="en-US" w:bidi="ar-SA"/>
              </w:rPr>
              <w:t>依据《中等职业学校英语课程标准》（2020版）开设，落实立德树人根本任务，学习语言基础知识，提高听、说、读、写等语言技能；掌握人与自我、人与社会、人与自然三大主题范围涵盖学生日常生活、职业发展等内容；培养英语学科核心素养。通过组织小组讨论、同伴互助、合作学习等活动，突出职业教育特点，引导学生在真实情境中开展语言实践活动，为学生提供多样化的学习方式，提升学生自主学习能力。</w:t>
            </w:r>
          </w:p>
        </w:tc>
        <w:tc>
          <w:tcPr>
            <w:tcW w:w="857" w:type="dxa"/>
            <w:vAlign w:val="center"/>
          </w:tcPr>
          <w:p w14:paraId="33FD738B">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5C83A0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7B18D63D">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w:t>
            </w:r>
          </w:p>
        </w:tc>
        <w:tc>
          <w:tcPr>
            <w:tcW w:w="1170" w:type="dxa"/>
            <w:vAlign w:val="center"/>
          </w:tcPr>
          <w:p w14:paraId="537B1FB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信息技术</w:t>
            </w:r>
          </w:p>
        </w:tc>
        <w:tc>
          <w:tcPr>
            <w:tcW w:w="3307" w:type="dxa"/>
            <w:vAlign w:val="center"/>
          </w:tcPr>
          <w:p w14:paraId="148DD15D">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落实立徳树人的根本任务，在完成九年义务教育相关课程的基础上，通过理论知识学习、基础技能训练和综合应用实践，培养中等职业学校学生符合 时代要求的信息素养和适应职业发展需要的信息能力。课程通过多样化的教学形式，帮助学生认识信息技术对当今人类 生产、生活的重要作用，理解信息技术、信息社会等概念和 信息社会特征与规范，掌握信息技术设备与系统操作、网络 应用、图文编辑、数据处理、程序设计、数字媒体技术应 用、信息安全和人工智能等相关知识与技能，综合应用信息 技术解決生产生活和学习情境中各种问题;在数字化学习与创 新过程中培养独立思考和主动探究能力，不断强化认知、合作、创新能力，为职业能力的提升奠定基础。</w:t>
            </w:r>
          </w:p>
        </w:tc>
        <w:tc>
          <w:tcPr>
            <w:tcW w:w="3694" w:type="dxa"/>
            <w:vAlign w:val="center"/>
          </w:tcPr>
          <w:p w14:paraId="43A74DDE">
            <w:pPr>
              <w:pStyle w:val="16"/>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依据《中等职业学校信息技术课程标准》（2020 版）开设，学习掌握计算机基础操作、信息安全防护等基础模块知识，熟练运用办公软件完成日常学习与工作任务的能力；了解信息技术、数字经济、现代管理和创新创业教育及人工智能基础理论、数字经济发展趋势等前沿知识。掌握 AI 技术应用，激发学生创新思维；培养学生运用信息技术解决专业问题、适应岗位需求的综合技能、创新实践与团队协作能力。</w:t>
            </w:r>
          </w:p>
        </w:tc>
        <w:tc>
          <w:tcPr>
            <w:tcW w:w="857" w:type="dxa"/>
            <w:vAlign w:val="center"/>
          </w:tcPr>
          <w:p w14:paraId="70138BA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108</w:t>
            </w:r>
          </w:p>
        </w:tc>
      </w:tr>
      <w:tr w14:paraId="4194C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48639CC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11</w:t>
            </w:r>
          </w:p>
        </w:tc>
        <w:tc>
          <w:tcPr>
            <w:tcW w:w="1170" w:type="dxa"/>
            <w:vAlign w:val="center"/>
          </w:tcPr>
          <w:p w14:paraId="33F118E1">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体育与健康</w:t>
            </w:r>
          </w:p>
        </w:tc>
        <w:tc>
          <w:tcPr>
            <w:tcW w:w="3307" w:type="dxa"/>
            <w:vAlign w:val="center"/>
          </w:tcPr>
          <w:p w14:paraId="22082E5E">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要落实立德树人的根本任务，以体育人，增强学生体质。通过对本课程的学习和练习，学生能够喜爱并积极参与体育 运动，享受体育运动的乐趣；学会锻炼身体的科学方法，掌 握1-2项体育运动技能，提升体育运动能力，提高职业体能 水平；树立健康观念，掌握健康知识和与职业相关的健康安 全知识，形成健康文明的生活方式；遵守体育道徳规范和行 为准则，发扬体育精神，塑造良好的体育品格，增强责任意 识、规则意识和团队意识。帮助学生在体育锻炼中享受乐 趣、增强体质、健全人格、锤炼意志，使学生在运动能力、健康行为和体育精神三方面获得全面发展。</w:t>
            </w:r>
          </w:p>
        </w:tc>
        <w:tc>
          <w:tcPr>
            <w:tcW w:w="3694" w:type="dxa"/>
            <w:vAlign w:val="center"/>
          </w:tcPr>
          <w:p w14:paraId="7FBFBEED">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依据《中等职业学校体育与健康课程标准》（2020 版）开设，掌握体育与健康的知识、技能和方法，提高学生的体育运动能力，培养运动爱好和专长，使学生养成终身体育锻炼的习惯，形成健康的行为与生活方式，健全人格，强健体魄，具备身心健康和职业生涯发展必备的体育与健康学科核心素养，引领学生逐步形成正确的世界观、人生观和价值观,自觉践行社会主义核心价值观,成为德智体美劳全面发展的高素质劳动者和技术技能人才。</w:t>
            </w:r>
          </w:p>
        </w:tc>
        <w:tc>
          <w:tcPr>
            <w:tcW w:w="857" w:type="dxa"/>
            <w:vAlign w:val="center"/>
          </w:tcPr>
          <w:p w14:paraId="7962C8B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180</w:t>
            </w:r>
          </w:p>
        </w:tc>
      </w:tr>
      <w:tr w14:paraId="2EA2D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6337377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12</w:t>
            </w:r>
          </w:p>
        </w:tc>
        <w:tc>
          <w:tcPr>
            <w:tcW w:w="1170" w:type="dxa"/>
            <w:vAlign w:val="center"/>
          </w:tcPr>
          <w:p w14:paraId="513FD39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艺术</w:t>
            </w:r>
          </w:p>
        </w:tc>
        <w:tc>
          <w:tcPr>
            <w:tcW w:w="3307" w:type="dxa"/>
            <w:vAlign w:val="center"/>
          </w:tcPr>
          <w:p w14:paraId="74BF3F98">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坚持立德树人，充分发挥艺术学科独特的育人功 能，以美育人，以文化人，以情动人，提高学生的审美和人文素养，积极引导学生主动参与艺术学习和实践，进一步积累和掌握艺术基础知识、基本技能和方法, 培养学生感受美、鉴赏美、表现美、创造美的能力，帮助学生塑造美好心灵，健 全健康人格，厚植民族情感，增进文化认同，坚定文化自信，成为德智体美劳全 面发展的高素质劳动者和技术技能人才。</w:t>
            </w:r>
          </w:p>
        </w:tc>
        <w:tc>
          <w:tcPr>
            <w:tcW w:w="3694" w:type="dxa"/>
            <w:vAlign w:val="center"/>
          </w:tcPr>
          <w:p w14:paraId="79F8F63E">
            <w:pPr>
              <w:pStyle w:val="16"/>
              <w:keepNext w:val="0"/>
              <w:keepLines w:val="0"/>
              <w:pageBreakBefore w:val="0"/>
              <w:widowControl w:val="0"/>
              <w:kinsoku w:val="0"/>
              <w:wordWrap/>
              <w:overflowPunct w:val="0"/>
              <w:topLinePunct w:val="0"/>
              <w:bidi w:val="0"/>
              <w:spacing w:before="35" w:line="360" w:lineRule="auto"/>
              <w:ind w:left="100" w:right="-44" w:hanging="2"/>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依据《中等职业学校艺术课程标准》（2020 版）开设，通过对音乐、音乐与自然、音乐与社会、音乐与人生四个单元学习，进一步积累和掌握艺术基础知识、基本技能和方法，培养学生感受美、鉴赏美、表现美、创造美的能力，充分发挥艺术学科独特的育人功能，以美育人，以文化人，以情动人，提高学生的审美和人文素养，积极引导学生主动参与艺术学习和实践，帮助学生塑造美好心灵，健全健康人格，厚植民族情感，增进文化认同，坚定文化自信。</w:t>
            </w:r>
          </w:p>
        </w:tc>
        <w:tc>
          <w:tcPr>
            <w:tcW w:w="857" w:type="dxa"/>
            <w:vAlign w:val="center"/>
          </w:tcPr>
          <w:p w14:paraId="0D994C3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36</w:t>
            </w:r>
          </w:p>
        </w:tc>
      </w:tr>
      <w:tr w14:paraId="0E0E4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71ED5386">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13</w:t>
            </w:r>
          </w:p>
        </w:tc>
        <w:tc>
          <w:tcPr>
            <w:tcW w:w="1170" w:type="dxa"/>
            <w:vAlign w:val="center"/>
          </w:tcPr>
          <w:p w14:paraId="3287331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劳动教育</w:t>
            </w:r>
          </w:p>
        </w:tc>
        <w:tc>
          <w:tcPr>
            <w:tcW w:w="3307" w:type="dxa"/>
            <w:vAlign w:val="center"/>
          </w:tcPr>
          <w:p w14:paraId="177C592D">
            <w:pPr>
              <w:keepNext w:val="0"/>
              <w:keepLines w:val="0"/>
              <w:pageBreakBefore w:val="0"/>
              <w:widowControl/>
              <w:suppressLineNumbers w:val="0"/>
              <w:wordWrap/>
              <w:topLinePunct w:val="0"/>
              <w:bidi w:val="0"/>
              <w:spacing w:line="360" w:lineRule="auto"/>
              <w:jc w:val="left"/>
              <w:outlineLvl w:val="9"/>
              <w:rPr>
                <w:rFonts w:hint="eastAsia" w:ascii="宋体" w:hAnsi="宋体" w:eastAsia="宋体" w:cs="宋体"/>
                <w:sz w:val="24"/>
                <w:szCs w:val="24"/>
                <w:highlight w:val="none"/>
                <w:lang w:val="zh-TW"/>
              </w:rPr>
            </w:pPr>
            <w:r>
              <w:rPr>
                <w:rFonts w:hint="eastAsia" w:ascii="宋体" w:hAnsi="宋体" w:eastAsia="宋体" w:cs="宋体"/>
                <w:kern w:val="2"/>
                <w:sz w:val="24"/>
                <w:szCs w:val="24"/>
                <w:highlight w:val="none"/>
                <w:lang w:val="en-US" w:eastAsia="zh-CN" w:bidi="ar-SA"/>
              </w:rPr>
              <w:t xml:space="preserve">坚持立德树人，准确把握社会主义建设者和接班人的劳动精神面貌、劳动价值取向和 劳动技能水平的培养要求，全面提高学生劳动素养，认识劳动创造人、劳动创造价值、创造财富、创造美好生活的道理，尊重劳动，尊重普通劳动者，牢固树立劳动最光荣、劳动最崇高、劳动最伟大、劳动最美丽的思想观念。掌握基本的劳动知识和技能，正确使用常见劳动工具，增强体力、智力和创造力，具备完成一定劳动任务所需要的设计、操作能力及团队合作能力。领会“幸福是奋斗出来的”内涵与意义，继承中华民族勤俭节约、 敬业奉献的优良传统，弘扬开拓创新、砥砺奋进的时代精神。能够自觉自愿、认真负责、安全规范、坚持不懈地参与劳动，形成诚实守信、吃苦耐劳的品质，珍惜劳动成果。 </w:t>
            </w:r>
          </w:p>
        </w:tc>
        <w:tc>
          <w:tcPr>
            <w:tcW w:w="3694" w:type="dxa"/>
            <w:vAlign w:val="center"/>
          </w:tcPr>
          <w:p w14:paraId="048B27B5">
            <w:pPr>
              <w:pStyle w:val="16"/>
              <w:keepNext w:val="0"/>
              <w:keepLines w:val="0"/>
              <w:pageBreakBefore w:val="0"/>
              <w:widowControl w:val="0"/>
              <w:kinsoku w:val="0"/>
              <w:wordWrap/>
              <w:overflowPunct w:val="0"/>
              <w:topLinePunct w:val="0"/>
              <w:bidi w:val="0"/>
              <w:spacing w:before="35" w:line="360" w:lineRule="auto"/>
              <w:ind w:right="-44"/>
              <w:outlineLvl w:val="9"/>
              <w:rPr>
                <w:rFonts w:hint="eastAsia" w:ascii="宋体" w:hAnsi="宋体" w:eastAsia="宋体" w:cs="宋体"/>
                <w:sz w:val="24"/>
                <w:szCs w:val="24"/>
                <w:highlight w:val="none"/>
                <w:lang w:eastAsia="zh-CN"/>
              </w:rPr>
            </w:pPr>
            <w:r>
              <w:rPr>
                <w:rFonts w:hint="eastAsia" w:ascii="仿宋" w:hAnsi="仿宋" w:cs="Times New Roman"/>
                <w:color w:val="000000"/>
                <w:sz w:val="24"/>
                <w:szCs w:val="24"/>
                <w:highlight w:val="none"/>
              </w:rPr>
              <w:t>培养学生持续开展日常生活劳动，自我管理生活，提高劳动自立自强的意识和能力；学生能够充分运用专业技能为社会、为他人提供相关公益服务，培育社会公德，厚植爱国爱民的情怀；依托实习实训，参与真实的生产劳动和服务性劳动，增强职业认同感和劳动自豪感，提升创意物化能力；培育学生不断探索、精益求精、追求卓越的工匠精神和爱岗敬业的劳动态度。</w:t>
            </w:r>
          </w:p>
        </w:tc>
        <w:tc>
          <w:tcPr>
            <w:tcW w:w="857" w:type="dxa"/>
            <w:vAlign w:val="center"/>
          </w:tcPr>
          <w:p w14:paraId="4BBF571F">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3E4E0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645" w:type="dxa"/>
            <w:vAlign w:val="center"/>
          </w:tcPr>
          <w:p w14:paraId="5B6FA831">
            <w:pPr>
              <w:keepNext w:val="0"/>
              <w:keepLines w:val="0"/>
              <w:pageBreakBefore w:val="0"/>
              <w:widowControl w:val="0"/>
              <w:wordWrap/>
              <w:topLinePunct w:val="0"/>
              <w:bidi w:val="0"/>
              <w:spacing w:line="360" w:lineRule="auto"/>
              <w:jc w:val="center"/>
              <w:outlineLvl w:val="9"/>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14</w:t>
            </w:r>
          </w:p>
        </w:tc>
        <w:tc>
          <w:tcPr>
            <w:tcW w:w="1170" w:type="dxa"/>
            <w:vAlign w:val="center"/>
          </w:tcPr>
          <w:p w14:paraId="587064DF">
            <w:pPr>
              <w:pStyle w:val="17"/>
              <w:keepNext w:val="0"/>
              <w:keepLines w:val="0"/>
              <w:pageBreakBefore w:val="0"/>
              <w:widowControl w:val="0"/>
              <w:wordWrap/>
              <w:topLinePunct w:val="0"/>
              <w:bidi w:val="0"/>
              <w:spacing w:line="360" w:lineRule="auto"/>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物理</w:t>
            </w:r>
          </w:p>
        </w:tc>
        <w:tc>
          <w:tcPr>
            <w:tcW w:w="3307" w:type="dxa"/>
            <w:vAlign w:val="center"/>
          </w:tcPr>
          <w:p w14:paraId="270DC613">
            <w:pPr>
              <w:pStyle w:val="18"/>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rPr>
              <w:t>落实立德树人的根本任务。具有建构物理模型的意识和能力，能用物理观念解释自然现象、解决实际问题；具有积极参与实践活动及通过动手实践提高知识领悟的意识和能力；初步具有工程思维和技术能力，具有实事求是、一丝不苟、精益求精、追求技术创新的科学态度和精神品质；有为实现中华民族伟大复兴而不懈奋斗的信念和初步行动；增强可持续发展的社会责任感。</w:t>
            </w:r>
          </w:p>
        </w:tc>
        <w:tc>
          <w:tcPr>
            <w:tcW w:w="3694" w:type="dxa"/>
            <w:vAlign w:val="center"/>
          </w:tcPr>
          <w:p w14:paraId="47F7EEE5">
            <w:pPr>
              <w:pStyle w:val="18"/>
              <w:keepNext w:val="0"/>
              <w:keepLines w:val="0"/>
              <w:pageBreakBefore w:val="0"/>
              <w:widowControl w:val="0"/>
              <w:wordWrap/>
              <w:topLinePunct w:val="0"/>
              <w:bidi w:val="0"/>
              <w:spacing w:line="360" w:lineRule="auto"/>
              <w:jc w:val="left"/>
              <w:outlineLvl w:val="9"/>
              <w:rPr>
                <w:rFonts w:hint="eastAsia" w:ascii="宋体" w:hAnsi="宋体" w:eastAsia="宋体" w:cs="宋体"/>
                <w:color w:val="auto"/>
                <w:kern w:val="2"/>
                <w:sz w:val="24"/>
                <w:szCs w:val="24"/>
                <w:highlight w:val="none"/>
                <w:lang w:val="en-US" w:eastAsia="zh-CN" w:bidi="ar-SA"/>
              </w:rPr>
            </w:pPr>
            <w:r>
              <w:rPr>
                <w:rFonts w:hint="eastAsia" w:ascii="仿宋" w:hAnsi="仿宋" w:cs="Times New Roman"/>
                <w:color w:val="000000"/>
                <w:sz w:val="24"/>
                <w:szCs w:val="24"/>
                <w:highlight w:val="none"/>
              </w:rPr>
              <w:t>依据《中等职业学校</w:t>
            </w:r>
            <w:r>
              <w:rPr>
                <w:rFonts w:hint="eastAsia" w:ascii="仿宋" w:hAnsi="仿宋" w:eastAsia="宋体" w:cs="Times New Roman"/>
                <w:color w:val="000000"/>
                <w:sz w:val="24"/>
                <w:szCs w:val="24"/>
                <w:highlight w:val="none"/>
                <w:lang w:eastAsia="zh-CN"/>
              </w:rPr>
              <w:t>物理</w:t>
            </w:r>
            <w:r>
              <w:rPr>
                <w:rFonts w:hint="eastAsia" w:ascii="仿宋" w:hAnsi="仿宋" w:cs="Times New Roman"/>
                <w:color w:val="000000"/>
                <w:sz w:val="24"/>
                <w:szCs w:val="24"/>
                <w:highlight w:val="none"/>
              </w:rPr>
              <w:t>课程标准》（2020 版）开设</w:t>
            </w:r>
            <w:r>
              <w:rPr>
                <w:rFonts w:hint="eastAsia" w:ascii="仿宋" w:hAnsi="仿宋" w:eastAsia="宋体" w:cs="Times New Roman"/>
                <w:color w:val="000000"/>
                <w:sz w:val="24"/>
                <w:szCs w:val="24"/>
                <w:highlight w:val="none"/>
                <w:lang w:eastAsia="zh-CN"/>
              </w:rPr>
              <w:t>，</w:t>
            </w:r>
            <w:r>
              <w:rPr>
                <w:rFonts w:hint="eastAsia" w:ascii="宋体" w:hAnsi="宋体" w:eastAsia="宋体" w:cs="宋体"/>
                <w:color w:val="auto"/>
                <w:kern w:val="2"/>
                <w:sz w:val="24"/>
                <w:szCs w:val="24"/>
                <w:highlight w:val="none"/>
                <w:lang w:val="en-US" w:eastAsia="zh-CN" w:bidi="ar-SA"/>
              </w:rPr>
              <w:t>课程由基础模块、拓展模块一、拓展模块二三部分构成。基础模块包括运动和力、功和能、热现象及能量守恒、直流电及其应用、电与磁及其应用、光现象及其应用、核能及其应用7个模块；拓展模块一包括运动和力、机械振动与机械波液体、气体的性质及其应用3个模块；拓展模块二包括物理与社会环境、物理与现代科技2个模块。确定教学目标，发展物理学科核心素养；重视情境创设，突出物理知识应用；强化实践教学，提升操作技能；加强信息技术运用，提高教学效果。</w:t>
            </w:r>
          </w:p>
        </w:tc>
        <w:tc>
          <w:tcPr>
            <w:tcW w:w="857" w:type="dxa"/>
            <w:vAlign w:val="center"/>
          </w:tcPr>
          <w:p w14:paraId="3460EEA4">
            <w:pPr>
              <w:keepNext w:val="0"/>
              <w:keepLines w:val="0"/>
              <w:pageBreakBefore w:val="0"/>
              <w:widowControl w:val="0"/>
              <w:wordWrap/>
              <w:topLinePunct w:val="0"/>
              <w:bidi w:val="0"/>
              <w:spacing w:line="360" w:lineRule="auto"/>
              <w:jc w:val="center"/>
              <w:outlineLvl w:val="9"/>
              <w:rPr>
                <w:rFonts w:hint="eastAsia" w:ascii="宋体" w:hAnsi="宋体" w:eastAsia="宋体" w:cs="宋体"/>
                <w:color w:val="C00000"/>
                <w:sz w:val="24"/>
                <w:szCs w:val="24"/>
                <w:highlight w:val="none"/>
                <w:lang w:val="en-US" w:eastAsia="zh-CN"/>
              </w:rPr>
            </w:pPr>
            <w:r>
              <w:rPr>
                <w:rFonts w:hint="eastAsia" w:ascii="宋体" w:hAnsi="宋体" w:eastAsia="宋体" w:cs="宋体"/>
                <w:color w:val="auto"/>
                <w:sz w:val="24"/>
                <w:szCs w:val="24"/>
                <w:highlight w:val="none"/>
                <w:lang w:val="en-US" w:eastAsia="zh-CN"/>
              </w:rPr>
              <w:t>54</w:t>
            </w:r>
          </w:p>
        </w:tc>
      </w:tr>
    </w:tbl>
    <w:p w14:paraId="59E1FAF9">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highlight w:val="none"/>
        </w:rPr>
      </w:pPr>
      <w:bookmarkStart w:id="36" w:name="_Toc7761"/>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公共基础选修课</w:t>
      </w:r>
      <w:bookmarkEnd w:id="36"/>
    </w:p>
    <w:p w14:paraId="589DF256">
      <w:pPr>
        <w:keepNext w:val="0"/>
        <w:keepLines w:val="0"/>
        <w:pageBreakBefore w:val="0"/>
        <w:wordWrap/>
        <w:topLinePunct w:val="0"/>
        <w:bidi w:val="0"/>
        <w:spacing w:line="360" w:lineRule="auto"/>
        <w:ind w:firstLine="480" w:firstLineChars="20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lang w:eastAsia="zh-CN"/>
        </w:rPr>
        <w:t>本专业公共基础选修课主要包括优秀传统文化、就业指导，</w:t>
      </w:r>
      <w:r>
        <w:rPr>
          <w:rFonts w:hint="eastAsia" w:ascii="宋体" w:hAnsi="宋体" w:eastAsia="宋体" w:cs="宋体"/>
          <w:sz w:val="24"/>
          <w:szCs w:val="24"/>
          <w:highlight w:val="none"/>
        </w:rPr>
        <w:t>通过学习培养良好的职业道德素养、身体素质、心理素质、礼仪修养素质</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推动中华优秀传统文化融入教育教学，加强革命文化和社会主义先进文化教育。深化体育、美育教学改革，促进学生身心健康，提高学生审美和人文素养</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为培养公民基本素养打好基础。</w:t>
      </w:r>
    </w:p>
    <w:p w14:paraId="2388A0D0">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：专业基础课程设置</w:t>
      </w:r>
    </w:p>
    <w:tbl>
      <w:tblPr>
        <w:tblStyle w:val="12"/>
        <w:tblW w:w="96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70"/>
        <w:gridCol w:w="3307"/>
        <w:gridCol w:w="3694"/>
        <w:gridCol w:w="857"/>
      </w:tblGrid>
      <w:tr w14:paraId="0972E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45" w:type="dxa"/>
            <w:vAlign w:val="center"/>
          </w:tcPr>
          <w:p w14:paraId="0337711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170" w:type="dxa"/>
            <w:vAlign w:val="center"/>
          </w:tcPr>
          <w:p w14:paraId="4839006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课程名称</w:t>
            </w:r>
          </w:p>
        </w:tc>
        <w:tc>
          <w:tcPr>
            <w:tcW w:w="3307" w:type="dxa"/>
            <w:vAlign w:val="center"/>
          </w:tcPr>
          <w:p w14:paraId="5D5AB9CD">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课程目标</w:t>
            </w:r>
          </w:p>
        </w:tc>
        <w:tc>
          <w:tcPr>
            <w:tcW w:w="3694" w:type="dxa"/>
            <w:vAlign w:val="center"/>
          </w:tcPr>
          <w:p w14:paraId="569FAA59">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主要内容及教学要求</w:t>
            </w:r>
          </w:p>
        </w:tc>
        <w:tc>
          <w:tcPr>
            <w:tcW w:w="857" w:type="dxa"/>
            <w:vAlign w:val="center"/>
          </w:tcPr>
          <w:p w14:paraId="230DDA3D">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学时</w:t>
            </w:r>
          </w:p>
        </w:tc>
      </w:tr>
      <w:tr w14:paraId="37F5B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645" w:type="dxa"/>
            <w:vAlign w:val="center"/>
          </w:tcPr>
          <w:p w14:paraId="04C5672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5</w:t>
            </w:r>
          </w:p>
        </w:tc>
        <w:tc>
          <w:tcPr>
            <w:tcW w:w="1170" w:type="dxa"/>
            <w:vAlign w:val="center"/>
          </w:tcPr>
          <w:p w14:paraId="0E6F4DB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优秀传统文化</w:t>
            </w:r>
          </w:p>
        </w:tc>
        <w:tc>
          <w:tcPr>
            <w:tcW w:w="3307" w:type="dxa"/>
            <w:vAlign w:val="center"/>
          </w:tcPr>
          <w:p w14:paraId="34690337">
            <w:pPr>
              <w:pStyle w:val="16"/>
              <w:keepNext w:val="0"/>
              <w:keepLines w:val="0"/>
              <w:pageBreakBefore w:val="0"/>
              <w:widowControl w:val="0"/>
              <w:kinsoku w:val="0"/>
              <w:wordWrap/>
              <w:overflowPunct w:val="0"/>
              <w:topLinePunct w:val="0"/>
              <w:bidi w:val="0"/>
              <w:spacing w:before="35" w:line="360" w:lineRule="auto"/>
              <w:ind w:left="100" w:leftChars="0" w:right="-44" w:rightChars="0" w:hanging="2" w:firstLineChars="0"/>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培养学生热爱中华优秀文化传统能力，提高学生的综合素质。了解中华优秀传统文化的基本知识和常识，规范学生优秀传统文化习惯、赏析。提高学生对中华优秀文化传统文化传承。</w:t>
            </w:r>
          </w:p>
        </w:tc>
        <w:tc>
          <w:tcPr>
            <w:tcW w:w="3694" w:type="dxa"/>
            <w:vAlign w:val="center"/>
          </w:tcPr>
          <w:p w14:paraId="7676AB0F">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感受中华优秀文化博大精深的同时，了解并学习有关民族方面的一些知识，使学生能够更为广泛、全面地认识中华民族、中华民族精神以及中华民族优秀传统文化的相关内容和知识，更好地了解中华民族的基本概况。</w:t>
            </w:r>
          </w:p>
        </w:tc>
        <w:tc>
          <w:tcPr>
            <w:tcW w:w="857" w:type="dxa"/>
            <w:vAlign w:val="center"/>
          </w:tcPr>
          <w:p w14:paraId="0979E46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r w14:paraId="3F88B6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645" w:type="dxa"/>
            <w:vAlign w:val="center"/>
          </w:tcPr>
          <w:p w14:paraId="6F8BAEE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16</w:t>
            </w:r>
          </w:p>
        </w:tc>
        <w:tc>
          <w:tcPr>
            <w:tcW w:w="1170" w:type="dxa"/>
            <w:vAlign w:val="center"/>
          </w:tcPr>
          <w:p w14:paraId="064EA0CA">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就业指导</w:t>
            </w:r>
          </w:p>
        </w:tc>
        <w:tc>
          <w:tcPr>
            <w:tcW w:w="3307" w:type="dxa"/>
            <w:vAlign w:val="center"/>
          </w:tcPr>
          <w:p w14:paraId="4495F19C">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本课程的目的是通过建立以课堂教学为主，个性化就业创业指导为辅，理论和实践课程交替进行的教学模式，切实提高学生就业竞争力，为学生顺利就业、适应社会及树立创业意识提供必要的指导。通过课程的学习，使学生了解国家就业方针政策，树立正确的择业就业和职业道德观念，锻造良好的心理素质，掌握求职的技巧和礼仪及树立创业意识。</w:t>
            </w:r>
          </w:p>
        </w:tc>
        <w:tc>
          <w:tcPr>
            <w:tcW w:w="3694" w:type="dxa"/>
            <w:vAlign w:val="center"/>
          </w:tcPr>
          <w:p w14:paraId="18527C8A">
            <w:pPr>
              <w:keepNext w:val="0"/>
              <w:keepLines w:val="0"/>
              <w:pageBreakBefore w:val="0"/>
              <w:widowControl w:val="0"/>
              <w:wordWrap/>
              <w:topLinePunct w:val="0"/>
              <w:bidi w:val="0"/>
              <w:spacing w:line="360" w:lineRule="auto"/>
              <w:jc w:val="left"/>
              <w:outlineLvl w:val="9"/>
              <w:rPr>
                <w:rFonts w:hint="eastAsia" w:ascii="宋体" w:hAnsi="宋体" w:eastAsia="宋体" w:cs="宋体"/>
                <w:sz w:val="24"/>
                <w:szCs w:val="24"/>
                <w:highlight w:val="none"/>
              </w:rPr>
            </w:pPr>
            <w:r>
              <w:rPr>
                <w:rFonts w:hint="eastAsia" w:ascii="仿宋" w:hAnsi="仿宋" w:cs="Times New Roman"/>
                <w:color w:val="000000"/>
                <w:sz w:val="24"/>
                <w:szCs w:val="24"/>
                <w:highlight w:val="none"/>
              </w:rPr>
              <w:t>本课程主要通过学业辅导、职业指导教育、职业生涯咨询、创新创业教育和就业服务等，培养学生规划管理学业、职业生涯的意识和能力，培育学生的工匠精神和质量意识，为适应融入社会、就业创业和职业生涯可持续发展做好准备。</w:t>
            </w:r>
          </w:p>
        </w:tc>
        <w:tc>
          <w:tcPr>
            <w:tcW w:w="857" w:type="dxa"/>
            <w:vAlign w:val="center"/>
          </w:tcPr>
          <w:p w14:paraId="020E2AAD">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18</w:t>
            </w:r>
          </w:p>
        </w:tc>
      </w:tr>
    </w:tbl>
    <w:p w14:paraId="0506DD9B">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rPr>
      </w:pPr>
    </w:p>
    <w:p w14:paraId="16A5827E">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highlight w:val="none"/>
          <w:lang w:val="en-US" w:eastAsia="zh-CN"/>
        </w:rPr>
      </w:pPr>
      <w:bookmarkStart w:id="37" w:name="_Toc24454"/>
      <w:bookmarkStart w:id="38" w:name="_Toc12109"/>
      <w:r>
        <w:rPr>
          <w:rFonts w:hint="eastAsia" w:ascii="楷体" w:hAnsi="楷体" w:eastAsia="楷体" w:cs="楷体"/>
          <w:b/>
          <w:bCs/>
          <w:color w:val="000000"/>
          <w:sz w:val="24"/>
          <w:szCs w:val="24"/>
          <w:highlight w:val="none"/>
        </w:rPr>
        <w:t>专业（技能）课程</w:t>
      </w:r>
      <w:bookmarkEnd w:id="37"/>
      <w:bookmarkEnd w:id="38"/>
    </w:p>
    <w:p w14:paraId="5F2A65A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default" w:ascii="宋体" w:hAnsi="宋体" w:eastAsia="宋体" w:cs="宋体"/>
          <w:color w:val="auto"/>
          <w:sz w:val="24"/>
          <w:szCs w:val="24"/>
          <w:highlight w:val="none"/>
          <w:lang w:val="en-US" w:eastAsia="zh-CN"/>
        </w:rPr>
      </w:pPr>
      <w:bookmarkStart w:id="39" w:name="_Toc11139"/>
      <w:r>
        <w:rPr>
          <w:rFonts w:hint="eastAsia" w:ascii="宋体" w:hAnsi="宋体" w:eastAsia="宋体" w:cs="宋体"/>
          <w:color w:val="auto"/>
          <w:sz w:val="24"/>
          <w:szCs w:val="24"/>
          <w:highlight w:val="none"/>
          <w:lang w:eastAsia="zh-CN"/>
        </w:rPr>
        <w:t>本专业专业课程共</w:t>
      </w:r>
      <w:r>
        <w:rPr>
          <w:rFonts w:hint="eastAsia" w:ascii="宋体" w:hAnsi="宋体" w:eastAsia="宋体" w:cs="宋体"/>
          <w:color w:val="auto"/>
          <w:sz w:val="24"/>
          <w:szCs w:val="24"/>
          <w:highlight w:val="none"/>
          <w:lang w:val="en-US" w:eastAsia="zh-CN"/>
        </w:rPr>
        <w:t>11门，其中专业基础课程4门，专业核心课程7门</w:t>
      </w:r>
      <w:bookmarkEnd w:id="39"/>
      <w:r>
        <w:rPr>
          <w:rFonts w:hint="eastAsia" w:ascii="宋体" w:hAnsi="宋体" w:eastAsia="宋体" w:cs="宋体"/>
          <w:color w:val="auto"/>
          <w:sz w:val="24"/>
          <w:szCs w:val="24"/>
          <w:highlight w:val="none"/>
          <w:lang w:val="en-US" w:eastAsia="zh-CN"/>
        </w:rPr>
        <w:t>，专业拓展课2门。</w:t>
      </w:r>
    </w:p>
    <w:p w14:paraId="598BDDE2">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outlineLvl w:val="9"/>
        <w:rPr>
          <w:rFonts w:hint="eastAsia" w:ascii="宋体" w:hAnsi="宋体" w:eastAsia="宋体" w:cs="宋体"/>
          <w:color w:val="auto"/>
          <w:sz w:val="24"/>
          <w:szCs w:val="24"/>
          <w:lang w:val="en-US" w:eastAsia="zh-CN"/>
        </w:rPr>
      </w:pPr>
      <w:bookmarkStart w:id="40" w:name="_Toc2244"/>
      <w:r>
        <w:rPr>
          <w:rFonts w:hint="eastAsia" w:ascii="宋体" w:hAnsi="宋体" w:eastAsia="宋体" w:cs="宋体"/>
          <w:color w:val="auto"/>
          <w:sz w:val="24"/>
          <w:szCs w:val="24"/>
          <w:lang w:val="en-US" w:eastAsia="zh-CN"/>
        </w:rPr>
        <w:t>1.专业基础课程</w:t>
      </w:r>
      <w:bookmarkEnd w:id="40"/>
    </w:p>
    <w:p w14:paraId="79D36CA1">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表</w:t>
      </w:r>
      <w:r>
        <w:rPr>
          <w:rFonts w:hint="eastAsia" w:ascii="宋体" w:hAnsi="宋体" w:eastAsia="宋体" w:cs="宋体"/>
          <w:sz w:val="24"/>
          <w:szCs w:val="24"/>
          <w:lang w:val="en-US" w:eastAsia="zh-CN"/>
        </w:rPr>
        <w:t>4</w:t>
      </w:r>
      <w:r>
        <w:rPr>
          <w:rFonts w:hint="eastAsia" w:ascii="宋体" w:hAnsi="宋体" w:eastAsia="宋体" w:cs="宋体"/>
          <w:sz w:val="24"/>
          <w:szCs w:val="24"/>
        </w:rPr>
        <w:t>：专业基础课课程设置</w:t>
      </w:r>
    </w:p>
    <w:tbl>
      <w:tblPr>
        <w:tblStyle w:val="12"/>
        <w:tblW w:w="9823" w:type="dxa"/>
        <w:tblInd w:w="-1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960"/>
        <w:gridCol w:w="3102"/>
        <w:gridCol w:w="4217"/>
        <w:gridCol w:w="900"/>
      </w:tblGrid>
      <w:tr w14:paraId="16A92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5B9D629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序号</w:t>
            </w:r>
          </w:p>
        </w:tc>
        <w:tc>
          <w:tcPr>
            <w:tcW w:w="960" w:type="dxa"/>
            <w:vAlign w:val="center"/>
          </w:tcPr>
          <w:p w14:paraId="56D91372">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课程</w:t>
            </w:r>
          </w:p>
          <w:p w14:paraId="1F6ADE50">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名称</w:t>
            </w:r>
          </w:p>
        </w:tc>
        <w:tc>
          <w:tcPr>
            <w:tcW w:w="3102" w:type="dxa"/>
            <w:vAlign w:val="center"/>
          </w:tcPr>
          <w:p w14:paraId="1CEC970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red"/>
              </w:rPr>
            </w:pPr>
            <w:r>
              <w:rPr>
                <w:rFonts w:hint="eastAsia" w:ascii="宋体" w:hAnsi="宋体" w:eastAsia="宋体" w:cs="宋体"/>
                <w:sz w:val="24"/>
                <w:szCs w:val="24"/>
                <w:highlight w:val="none"/>
                <w:lang w:val="en-US" w:eastAsia="zh-CN"/>
              </w:rPr>
              <w:t>典型工作任务描述</w:t>
            </w:r>
          </w:p>
        </w:tc>
        <w:tc>
          <w:tcPr>
            <w:tcW w:w="4217" w:type="dxa"/>
            <w:vAlign w:val="center"/>
          </w:tcPr>
          <w:p w14:paraId="64FB856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red"/>
              </w:rPr>
            </w:pPr>
            <w:r>
              <w:rPr>
                <w:rFonts w:hint="eastAsia" w:ascii="宋体" w:hAnsi="宋体" w:eastAsia="宋体" w:cs="宋体"/>
                <w:sz w:val="24"/>
                <w:szCs w:val="24"/>
                <w:highlight w:val="none"/>
              </w:rPr>
              <w:t>教学要求与主要内容</w:t>
            </w:r>
          </w:p>
        </w:tc>
        <w:tc>
          <w:tcPr>
            <w:tcW w:w="900" w:type="dxa"/>
            <w:vAlign w:val="center"/>
          </w:tcPr>
          <w:p w14:paraId="4A80AAF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学时</w:t>
            </w:r>
          </w:p>
        </w:tc>
      </w:tr>
      <w:tr w14:paraId="2C1E3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6F1ED3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60" w:type="dxa"/>
            <w:shd w:val="clear" w:color="auto" w:fill="auto"/>
            <w:vAlign w:val="center"/>
          </w:tcPr>
          <w:p w14:paraId="6BA4594E">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pacing w:val="-2"/>
                <w:sz w:val="24"/>
                <w:szCs w:val="24"/>
                <w:lang w:eastAsia="zh-CN"/>
              </w:rPr>
              <w:t>汽车</w:t>
            </w:r>
            <w:r>
              <w:rPr>
                <w:rFonts w:hint="eastAsia" w:ascii="宋体" w:hAnsi="宋体" w:eastAsia="宋体" w:cs="宋体"/>
                <w:spacing w:val="-2"/>
                <w:sz w:val="24"/>
                <w:szCs w:val="24"/>
              </w:rPr>
              <w:t>机械</w:t>
            </w:r>
            <w:r>
              <w:rPr>
                <w:rFonts w:hint="eastAsia" w:ascii="宋体" w:hAnsi="宋体" w:eastAsia="宋体" w:cs="宋体"/>
                <w:spacing w:val="-2"/>
                <w:sz w:val="24"/>
                <w:szCs w:val="24"/>
                <w:lang w:eastAsia="zh-CN"/>
              </w:rPr>
              <w:t>识</w:t>
            </w:r>
            <w:r>
              <w:rPr>
                <w:rFonts w:hint="eastAsia" w:ascii="宋体" w:hAnsi="宋体" w:eastAsia="宋体" w:cs="宋体"/>
                <w:spacing w:val="-2"/>
                <w:sz w:val="24"/>
                <w:szCs w:val="24"/>
              </w:rPr>
              <w:t>图</w:t>
            </w:r>
          </w:p>
        </w:tc>
        <w:tc>
          <w:tcPr>
            <w:tcW w:w="3102" w:type="dxa"/>
            <w:vAlign w:val="center"/>
          </w:tcPr>
          <w:p w14:paraId="7DA86B02">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z w:val="24"/>
                <w:szCs w:val="24"/>
                <w:highlight w:val="red"/>
                <w:lang w:val="en-US" w:eastAsia="zh-CN"/>
              </w:rPr>
            </w:pPr>
            <w:r>
              <w:rPr>
                <w:rFonts w:hint="eastAsia" w:ascii="宋体" w:hAnsi="宋体" w:eastAsia="宋体" w:cs="宋体"/>
                <w:snapToGrid w:val="0"/>
                <w:color w:val="000000"/>
                <w:spacing w:val="-7"/>
                <w:kern w:val="0"/>
                <w:sz w:val="24"/>
                <w:szCs w:val="24"/>
                <w:lang w:val="en-US" w:eastAsia="zh-CN" w:bidi="ar-SA"/>
              </w:rPr>
              <w:t>以“掌握制图标准、精准识读图样、规范绘制图形”为核心，通过“理论认知—实操训练—岗位模拟”一体化教学，让学生理解机械制图的基本原理与国家标准，熟练掌握零件图、装配图的识读方法与绘制技能，具备使用手工绘图工具及CAD软件表达机械结构的能力，同时培养严谨的工程规范意识、空间想象能力及细致耐心的职业素养，助力学生看懂、画准“机械行业通用语言”。</w:t>
            </w:r>
          </w:p>
        </w:tc>
        <w:tc>
          <w:tcPr>
            <w:tcW w:w="4217" w:type="dxa"/>
            <w:vAlign w:val="center"/>
          </w:tcPr>
          <w:p w14:paraId="73704A0D">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zh-CN" w:bidi="ar-SA"/>
              </w:rPr>
              <w:t>（1）</w:t>
            </w:r>
            <w:r>
              <w:rPr>
                <w:rFonts w:hint="eastAsia" w:ascii="宋体" w:hAnsi="宋体" w:eastAsia="宋体" w:cs="宋体"/>
                <w:snapToGrid w:val="0"/>
                <w:color w:val="000000"/>
                <w:spacing w:val="-7"/>
                <w:kern w:val="0"/>
                <w:sz w:val="24"/>
                <w:szCs w:val="24"/>
                <w:lang w:val="en-US" w:eastAsia="en-US" w:bidi="ar-SA"/>
              </w:rPr>
              <w:t>了解常用的绘图仪器与绘图工具，能够正确、合理地使用绘图仪器与绘图工具。</w:t>
            </w:r>
          </w:p>
          <w:p w14:paraId="0DA07D6E">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zh-CN" w:bidi="ar-SA"/>
              </w:rPr>
              <w:t>（</w:t>
            </w:r>
            <w:r>
              <w:rPr>
                <w:rFonts w:hint="eastAsia" w:ascii="宋体" w:hAnsi="宋体" w:eastAsia="宋体" w:cs="宋体"/>
                <w:snapToGrid w:val="0"/>
                <w:color w:val="000000"/>
                <w:spacing w:val="-7"/>
                <w:kern w:val="0"/>
                <w:sz w:val="24"/>
                <w:szCs w:val="24"/>
                <w:lang w:val="en-US" w:eastAsia="en-US" w:bidi="ar-SA"/>
              </w:rPr>
              <w:t>2)了解图纸幅面、格式的规定。了解比例的规定</w:t>
            </w:r>
            <w:r>
              <w:rPr>
                <w:rFonts w:hint="eastAsia" w:ascii="宋体" w:hAnsi="宋体" w:eastAsia="宋体" w:cs="宋体"/>
                <w:snapToGrid w:val="0"/>
                <w:color w:val="000000"/>
                <w:spacing w:val="-7"/>
                <w:kern w:val="0"/>
                <w:sz w:val="24"/>
                <w:szCs w:val="24"/>
                <w:lang w:val="en-US" w:eastAsia="zh-CN" w:bidi="ar-SA"/>
              </w:rPr>
              <w:t>。</w:t>
            </w:r>
            <w:r>
              <w:rPr>
                <w:rFonts w:hint="eastAsia" w:ascii="宋体" w:hAnsi="宋体" w:eastAsia="宋体" w:cs="宋体"/>
                <w:snapToGrid w:val="0"/>
                <w:color w:val="000000"/>
                <w:spacing w:val="-7"/>
                <w:kern w:val="0"/>
                <w:sz w:val="24"/>
                <w:szCs w:val="24"/>
                <w:lang w:val="en-US" w:eastAsia="en-US" w:bidi="ar-SA"/>
              </w:rPr>
              <w:t>了解字体的规格和写法。</w:t>
            </w:r>
          </w:p>
          <w:p w14:paraId="242981EB">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（3）掌握各种图线的型式、主要用途及其画法。</w:t>
            </w:r>
          </w:p>
          <w:p w14:paraId="4BE81B28">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(4) 掌握标注尺寸的基本规则、尺丁的组成、常见尺寸的标注方法。</w:t>
            </w:r>
          </w:p>
          <w:p w14:paraId="0840D8B9">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z w:val="24"/>
                <w:szCs w:val="24"/>
                <w:highlight w:val="red"/>
              </w:rPr>
            </w:pPr>
            <w:r>
              <w:rPr>
                <w:rFonts w:hint="eastAsia" w:ascii="宋体" w:hAnsi="宋体" w:eastAsia="宋体" w:cs="宋体"/>
                <w:snapToGrid w:val="0"/>
                <w:color w:val="000000"/>
                <w:spacing w:val="-7"/>
                <w:kern w:val="0"/>
                <w:sz w:val="24"/>
                <w:szCs w:val="24"/>
                <w:lang w:val="en-US" w:eastAsia="en-US" w:bidi="ar-SA"/>
              </w:rPr>
              <w:t>(5)会利用绘图仪器与绘图工具进行等分线段、等分圆周和作正多边形与圆弧连接。</w:t>
            </w:r>
          </w:p>
        </w:tc>
        <w:tc>
          <w:tcPr>
            <w:tcW w:w="900" w:type="dxa"/>
            <w:vAlign w:val="center"/>
          </w:tcPr>
          <w:p w14:paraId="77AB86A7">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72</w:t>
            </w:r>
          </w:p>
        </w:tc>
      </w:tr>
      <w:tr w14:paraId="66A29B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7F9BB99B">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960" w:type="dxa"/>
            <w:shd w:val="clear" w:color="auto" w:fill="auto"/>
            <w:vAlign w:val="center"/>
          </w:tcPr>
          <w:p w14:paraId="0EFE5536">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lang w:eastAsia="zh-CN"/>
              </w:rPr>
              <w:t>汽车机械基础</w:t>
            </w:r>
          </w:p>
        </w:tc>
        <w:tc>
          <w:tcPr>
            <w:tcW w:w="3102" w:type="dxa"/>
            <w:vAlign w:val="center"/>
          </w:tcPr>
          <w:p w14:paraId="320DC43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1.知识层面：能准确描述常见机械零部件的结构与用途、传动机构的工作原理，掌握机械连接、传动比计算等核心知识点。</w:t>
            </w:r>
          </w:p>
          <w:p w14:paraId="597D34E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z w:val="24"/>
                <w:szCs w:val="24"/>
                <w:highlight w:val="red"/>
                <w:lang w:val="en-US" w:eastAsia="zh-CN"/>
              </w:rPr>
            </w:pPr>
            <w:r>
              <w:rPr>
                <w:rFonts w:hint="eastAsia" w:ascii="宋体" w:hAnsi="宋体" w:eastAsia="宋体" w:cs="宋体"/>
                <w:spacing w:val="-7"/>
                <w:sz w:val="24"/>
                <w:szCs w:val="24"/>
                <w:lang w:val="en-US" w:eastAsia="zh-CN"/>
              </w:rPr>
              <w:t>2.技能层面：能完成机械零件测绘、简单传动机构分析与装配、CAD绘图等操作，具备使用常用量具与工具的能力。</w:t>
            </w:r>
          </w:p>
        </w:tc>
        <w:tc>
          <w:tcPr>
            <w:tcW w:w="4217" w:type="dxa"/>
            <w:vAlign w:val="center"/>
          </w:tcPr>
          <w:p w14:paraId="26F2A0C8">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kern w:val="0"/>
                <w:sz w:val="24"/>
                <w:szCs w:val="24"/>
                <w:highlight w:val="none"/>
                <w:lang w:val="en-US" w:eastAsia="en-US" w:bidi="ar-SA"/>
              </w:rPr>
              <w:t>（</w:t>
            </w:r>
            <w:r>
              <w:rPr>
                <w:rFonts w:hint="eastAsia" w:ascii="宋体" w:hAnsi="宋体" w:eastAsia="宋体" w:cs="宋体"/>
                <w:snapToGrid w:val="0"/>
                <w:color w:val="000000"/>
                <w:spacing w:val="-7"/>
                <w:kern w:val="0"/>
                <w:sz w:val="24"/>
                <w:szCs w:val="24"/>
                <w:lang w:val="en-US" w:eastAsia="en-US" w:bidi="ar-SA"/>
              </w:rPr>
              <w:t>1)掌握机器、机构、机器的组成和运动；</w:t>
            </w:r>
          </w:p>
          <w:p w14:paraId="44F655B5">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（2)掌握带传动的组成、原理和类型；</w:t>
            </w:r>
          </w:p>
          <w:p w14:paraId="026A262E">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（3)掌握螺旋传动种类和应用；</w:t>
            </w:r>
          </w:p>
          <w:p w14:paraId="6A3B66D6">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（4)了解链传动概述及类型；</w:t>
            </w:r>
          </w:p>
          <w:p w14:paraId="53BB7414">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（5)齿轮传动的类型及应用；</w:t>
            </w:r>
          </w:p>
          <w:p w14:paraId="0226671E">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（6)了解蜗杆传动概述，主要参数；</w:t>
            </w:r>
          </w:p>
          <w:p w14:paraId="10705DD9">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（7)轮系分类及其应用特点；</w:t>
            </w:r>
          </w:p>
          <w:p w14:paraId="1ED31B87">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napToGrid w:val="0"/>
                <w:color w:val="000000"/>
                <w:spacing w:val="-7"/>
                <w:kern w:val="0"/>
                <w:sz w:val="24"/>
                <w:szCs w:val="24"/>
                <w:lang w:val="en-US" w:eastAsia="en-US" w:bidi="ar-SA"/>
              </w:rPr>
            </w:pPr>
            <w:r>
              <w:rPr>
                <w:rFonts w:hint="eastAsia" w:ascii="宋体" w:hAnsi="宋体" w:eastAsia="宋体" w:cs="宋体"/>
                <w:snapToGrid w:val="0"/>
                <w:color w:val="000000"/>
                <w:spacing w:val="-7"/>
                <w:kern w:val="0"/>
                <w:sz w:val="24"/>
                <w:szCs w:val="24"/>
                <w:lang w:val="en-US" w:eastAsia="en-US" w:bidi="ar-SA"/>
              </w:rPr>
              <w:t>（8)掌握铰链四杆机构的组成与分类；</w:t>
            </w:r>
          </w:p>
          <w:p w14:paraId="0B118764">
            <w:pPr>
              <w:pStyle w:val="15"/>
              <w:keepNext w:val="0"/>
              <w:keepLines w:val="0"/>
              <w:pageBreakBefore w:val="0"/>
              <w:widowControl/>
              <w:wordWrap/>
              <w:overflowPunct/>
              <w:topLinePunct w:val="0"/>
              <w:bidi w:val="0"/>
              <w:spacing w:line="360" w:lineRule="auto"/>
              <w:ind w:right="0"/>
              <w:jc w:val="left"/>
              <w:outlineLvl w:val="9"/>
              <w:rPr>
                <w:rFonts w:hint="eastAsia" w:ascii="宋体" w:hAnsi="宋体" w:eastAsia="宋体" w:cs="宋体"/>
                <w:sz w:val="24"/>
                <w:szCs w:val="24"/>
                <w:highlight w:val="red"/>
              </w:rPr>
            </w:pPr>
            <w:r>
              <w:rPr>
                <w:rFonts w:hint="eastAsia" w:ascii="宋体" w:hAnsi="宋体" w:eastAsia="宋体" w:cs="宋体"/>
                <w:snapToGrid w:val="0"/>
                <w:color w:val="000000"/>
                <w:spacing w:val="-7"/>
                <w:kern w:val="0"/>
                <w:sz w:val="24"/>
                <w:szCs w:val="24"/>
                <w:lang w:val="en-US" w:eastAsia="en-US" w:bidi="ar-SA"/>
              </w:rPr>
              <w:t>（9</w:t>
            </w:r>
            <w:r>
              <w:rPr>
                <w:rFonts w:hint="eastAsia" w:ascii="宋体" w:hAnsi="宋体" w:eastAsia="宋体" w:cs="宋体"/>
                <w:snapToGrid w:val="0"/>
                <w:color w:val="000000"/>
                <w:spacing w:val="-7"/>
                <w:kern w:val="0"/>
                <w:sz w:val="24"/>
                <w:szCs w:val="24"/>
                <w:lang w:val="en-US" w:eastAsia="zh-CN" w:bidi="ar-SA"/>
              </w:rPr>
              <w:t>）</w:t>
            </w:r>
            <w:r>
              <w:rPr>
                <w:rFonts w:hint="eastAsia" w:ascii="宋体" w:hAnsi="宋体" w:eastAsia="宋体" w:cs="宋体"/>
                <w:snapToGrid w:val="0"/>
                <w:color w:val="000000"/>
                <w:spacing w:val="-7"/>
                <w:kern w:val="0"/>
                <w:sz w:val="24"/>
                <w:szCs w:val="24"/>
                <w:lang w:val="en-US" w:eastAsia="en-US" w:bidi="ar-SA"/>
              </w:rPr>
              <w:t>凸轮机构工作过程及从动件运动规律；</w:t>
            </w:r>
          </w:p>
        </w:tc>
        <w:tc>
          <w:tcPr>
            <w:tcW w:w="900" w:type="dxa"/>
            <w:vAlign w:val="center"/>
          </w:tcPr>
          <w:p w14:paraId="63E8F73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90</w:t>
            </w:r>
          </w:p>
        </w:tc>
      </w:tr>
      <w:tr w14:paraId="56F88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73CFDE">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960" w:type="dxa"/>
            <w:shd w:val="clear" w:color="auto" w:fill="auto"/>
            <w:vAlign w:val="center"/>
          </w:tcPr>
          <w:p w14:paraId="335D4068">
            <w:pPr>
              <w:keepNext w:val="0"/>
              <w:keepLines w:val="0"/>
              <w:pageBreakBefore w:val="0"/>
              <w:widowControl w:val="0"/>
              <w:wordWrap/>
              <w:topLinePunct w:val="0"/>
              <w:bidi w:val="0"/>
              <w:spacing w:line="360" w:lineRule="auto"/>
              <w:jc w:val="both"/>
              <w:outlineLvl w:val="9"/>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pacing w:val="3"/>
                <w:sz w:val="24"/>
                <w:szCs w:val="24"/>
                <w:lang w:eastAsia="zh-CN"/>
              </w:rPr>
              <w:t>新能源汽车概论</w:t>
            </w:r>
          </w:p>
        </w:tc>
        <w:tc>
          <w:tcPr>
            <w:tcW w:w="3102" w:type="dxa"/>
            <w:vAlign w:val="center"/>
          </w:tcPr>
          <w:p w14:paraId="25B52F1D">
            <w:pPr>
              <w:keepNext w:val="0"/>
              <w:keepLines w:val="0"/>
              <w:pageBreakBefore w:val="0"/>
              <w:widowControl w:val="0"/>
              <w:wordWrap/>
              <w:topLinePunct w:val="0"/>
              <w:bidi w:val="0"/>
              <w:spacing w:line="360" w:lineRule="auto"/>
              <w:outlineLvl w:val="9"/>
              <w:rPr>
                <w:rFonts w:hint="eastAsia" w:ascii="宋体" w:hAnsi="宋体" w:eastAsia="宋体" w:cs="宋体"/>
                <w:sz w:val="24"/>
                <w:szCs w:val="24"/>
              </w:rPr>
            </w:pPr>
            <w:r>
              <w:rPr>
                <w:rFonts w:hint="eastAsia" w:ascii="宋体" w:hAnsi="宋体" w:eastAsia="宋体" w:cs="宋体"/>
                <w:sz w:val="24"/>
                <w:szCs w:val="24"/>
              </w:rPr>
              <w:t>1.新能源汽车类型辨识与技术原理分析</w:t>
            </w:r>
          </w:p>
          <w:p w14:paraId="553948A2">
            <w:pPr>
              <w:keepNext w:val="0"/>
              <w:keepLines w:val="0"/>
              <w:pageBreakBefore w:val="0"/>
              <w:widowControl w:val="0"/>
              <w:wordWrap/>
              <w:topLinePunct w:val="0"/>
              <w:bidi w:val="0"/>
              <w:spacing w:line="360" w:lineRule="auto"/>
              <w:outlineLvl w:val="9"/>
              <w:rPr>
                <w:rFonts w:hint="eastAsia" w:ascii="宋体" w:hAnsi="宋体" w:eastAsia="宋体" w:cs="宋体"/>
                <w:sz w:val="24"/>
                <w:szCs w:val="24"/>
              </w:rPr>
            </w:pPr>
            <w:r>
              <w:rPr>
                <w:rFonts w:hint="eastAsia" w:ascii="宋体" w:hAnsi="宋体" w:eastAsia="宋体" w:cs="宋体"/>
                <w:sz w:val="24"/>
                <w:szCs w:val="24"/>
              </w:rPr>
              <w:t>2.核心部件性能对比与选型</w:t>
            </w:r>
          </w:p>
          <w:p w14:paraId="23429605">
            <w:pPr>
              <w:keepNext w:val="0"/>
              <w:keepLines w:val="0"/>
              <w:pageBreakBefore w:val="0"/>
              <w:widowControl w:val="0"/>
              <w:wordWrap/>
              <w:topLinePunct w:val="0"/>
              <w:bidi w:val="0"/>
              <w:spacing w:line="360" w:lineRule="auto"/>
              <w:outlineLvl w:val="9"/>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新能源汽车产业链调研与绘制</w:t>
            </w:r>
          </w:p>
          <w:p w14:paraId="39432613">
            <w:pPr>
              <w:keepNext w:val="0"/>
              <w:keepLines w:val="0"/>
              <w:pageBreakBefore w:val="0"/>
              <w:widowControl w:val="0"/>
              <w:wordWrap/>
              <w:topLinePunct w:val="0"/>
              <w:bidi w:val="0"/>
              <w:spacing w:line="360" w:lineRule="auto"/>
              <w:outlineLvl w:val="9"/>
              <w:rPr>
                <w:rFonts w:hint="eastAsia" w:ascii="宋体" w:hAnsi="宋体" w:eastAsia="宋体" w:cs="宋体"/>
                <w:sz w:val="24"/>
                <w:szCs w:val="24"/>
                <w:highlight w:val="red"/>
                <w:lang w:val="en-US" w:eastAsia="zh-CN"/>
              </w:rPr>
            </w:pPr>
            <w:r>
              <w:rPr>
                <w:rFonts w:hint="eastAsia" w:ascii="宋体" w:hAnsi="宋体" w:eastAsia="宋体" w:cs="宋体"/>
                <w:sz w:val="24"/>
                <w:szCs w:val="24"/>
                <w:lang w:val="en-US" w:eastAsia="zh-CN"/>
              </w:rPr>
              <w:t>4.</w:t>
            </w:r>
            <w:r>
              <w:rPr>
                <w:rFonts w:hint="eastAsia" w:ascii="宋体" w:hAnsi="宋体" w:eastAsia="宋体" w:cs="宋体"/>
                <w:sz w:val="24"/>
                <w:szCs w:val="24"/>
              </w:rPr>
              <w:t>政策影响与市场数据解读</w:t>
            </w:r>
          </w:p>
        </w:tc>
        <w:tc>
          <w:tcPr>
            <w:tcW w:w="4217" w:type="dxa"/>
            <w:vAlign w:val="center"/>
          </w:tcPr>
          <w:p w14:paraId="5769FCC1">
            <w:pPr>
              <w:keepNext w:val="0"/>
              <w:keepLines w:val="0"/>
              <w:pageBreakBefore w:val="0"/>
              <w:widowControl w:val="0"/>
              <w:numPr>
                <w:ilvl w:val="0"/>
                <w:numId w:val="4"/>
              </w:numPr>
              <w:wordWrap/>
              <w:topLinePunct w:val="0"/>
              <w:bidi w:val="0"/>
              <w:spacing w:line="360" w:lineRule="auto"/>
              <w:outlineLvl w:val="9"/>
              <w:rPr>
                <w:rFonts w:hint="eastAsia" w:ascii="宋体" w:hAnsi="宋体" w:eastAsia="宋体" w:cs="宋体"/>
                <w:sz w:val="24"/>
                <w:szCs w:val="24"/>
              </w:rPr>
            </w:pPr>
            <w:r>
              <w:rPr>
                <w:rFonts w:hint="eastAsia" w:ascii="宋体" w:hAnsi="宋体" w:eastAsia="宋体" w:cs="宋体"/>
                <w:sz w:val="24"/>
                <w:szCs w:val="24"/>
              </w:rPr>
              <w:t>掌握不同车型的技术差异，理解电池、电机、电控的协同工作逻辑。</w:t>
            </w:r>
          </w:p>
          <w:p w14:paraId="4D716172">
            <w:pPr>
              <w:keepNext w:val="0"/>
              <w:keepLines w:val="0"/>
              <w:pageBreakBefore w:val="0"/>
              <w:widowControl w:val="0"/>
              <w:wordWrap/>
              <w:topLinePunct w:val="0"/>
              <w:bidi w:val="0"/>
              <w:spacing w:line="360" w:lineRule="auto"/>
              <w:outlineLvl w:val="9"/>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根据应用需求进行技术选型的能力。</w:t>
            </w:r>
          </w:p>
          <w:p w14:paraId="78BB4DC3">
            <w:pPr>
              <w:keepNext w:val="0"/>
              <w:keepLines w:val="0"/>
              <w:pageBreakBefore w:val="0"/>
              <w:widowControl w:val="0"/>
              <w:numPr>
                <w:ilvl w:val="0"/>
                <w:numId w:val="0"/>
              </w:numPr>
              <w:wordWrap/>
              <w:topLinePunct w:val="0"/>
              <w:bidi w:val="0"/>
              <w:spacing w:line="360" w:lineRule="auto"/>
              <w:outlineLvl w:val="9"/>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理解产业生态与供应链逻辑。</w:t>
            </w:r>
          </w:p>
          <w:p w14:paraId="05D54B64">
            <w:pPr>
              <w:keepNext w:val="0"/>
              <w:keepLines w:val="0"/>
              <w:pageBreakBefore w:val="0"/>
              <w:widowControl w:val="0"/>
              <w:wordWrap/>
              <w:topLinePunct w:val="0"/>
              <w:bidi w:val="0"/>
              <w:spacing w:line="360" w:lineRule="auto"/>
              <w:outlineLvl w:val="9"/>
              <w:rPr>
                <w:rFonts w:hint="eastAsia" w:ascii="宋体" w:hAnsi="宋体" w:eastAsia="宋体" w:cs="宋体"/>
                <w:sz w:val="24"/>
                <w:szCs w:val="24"/>
                <w:highlight w:val="red"/>
              </w:rPr>
            </w:pPr>
            <w:r>
              <w:rPr>
                <w:rFonts w:hint="eastAsia" w:ascii="宋体" w:hAnsi="宋体" w:eastAsia="宋体" w:cs="宋体"/>
                <w:sz w:val="24"/>
                <w:szCs w:val="24"/>
                <w:lang w:val="en-US" w:eastAsia="zh-CN"/>
              </w:rPr>
              <w:t>4.</w:t>
            </w:r>
            <w:r>
              <w:rPr>
                <w:rFonts w:hint="eastAsia" w:ascii="宋体" w:hAnsi="宋体" w:eastAsia="宋体" w:cs="宋体"/>
                <w:sz w:val="24"/>
                <w:szCs w:val="24"/>
              </w:rPr>
              <w:t>建立政策与市场联动的分析思维。</w:t>
            </w:r>
          </w:p>
        </w:tc>
        <w:tc>
          <w:tcPr>
            <w:tcW w:w="900" w:type="dxa"/>
            <w:vAlign w:val="center"/>
          </w:tcPr>
          <w:p w14:paraId="4136751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72</w:t>
            </w:r>
          </w:p>
        </w:tc>
      </w:tr>
      <w:tr w14:paraId="0A656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4" w:type="dxa"/>
            <w:vAlign w:val="center"/>
          </w:tcPr>
          <w:p w14:paraId="012B337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960" w:type="dxa"/>
            <w:shd w:val="clear" w:color="auto" w:fill="auto"/>
            <w:vAlign w:val="center"/>
          </w:tcPr>
          <w:p w14:paraId="3C99EB52">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napToGrid w:val="0"/>
                <w:color w:val="000000"/>
                <w:kern w:val="0"/>
                <w:sz w:val="24"/>
                <w:szCs w:val="24"/>
                <w:lang w:val="en-US" w:eastAsia="zh-CN" w:bidi="ar-SA"/>
              </w:rPr>
              <w:t>新能源汽车电力电子基础</w:t>
            </w:r>
          </w:p>
        </w:tc>
        <w:tc>
          <w:tcPr>
            <w:tcW w:w="3102" w:type="dxa"/>
            <w:vAlign w:val="center"/>
          </w:tcPr>
          <w:p w14:paraId="3A691204">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z w:val="24"/>
                <w:szCs w:val="24"/>
                <w:highlight w:val="red"/>
                <w:lang w:val="en-US" w:eastAsia="zh-CN"/>
              </w:rPr>
            </w:pPr>
            <w:r>
              <w:rPr>
                <w:rFonts w:hint="eastAsia" w:ascii="宋体" w:hAnsi="宋体" w:eastAsia="宋体" w:cs="宋体"/>
                <w:snapToGrid w:val="0"/>
                <w:color w:val="000000"/>
                <w:kern w:val="0"/>
                <w:sz w:val="24"/>
                <w:szCs w:val="24"/>
                <w:highlight w:val="none"/>
                <w:lang w:val="en-US" w:eastAsia="zh-CN" w:bidi="ar-SA"/>
              </w:rPr>
              <w:t>课程任务以“岗位需求”为导向，以“实践能力”为核心，通过“元件认知—电路分析—技能实操—项目应用”四层任务递进，让学生在“做中学、学中做”中掌握电子技术核心知识与技能，兼具职业规范与创新意识，成为适应电子行业基层岗位需求的“懂原理、会操作、能维护”的技术技能型人才。</w:t>
            </w:r>
          </w:p>
        </w:tc>
        <w:tc>
          <w:tcPr>
            <w:tcW w:w="4217" w:type="dxa"/>
            <w:vAlign w:val="center"/>
          </w:tcPr>
          <w:p w14:paraId="405831FD">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napToGrid w:val="0"/>
                <w:color w:val="000000"/>
                <w:kern w:val="0"/>
                <w:sz w:val="24"/>
                <w:szCs w:val="24"/>
                <w:highlight w:val="none"/>
                <w:lang w:val="en-US" w:eastAsia="en-US" w:bidi="ar-SA"/>
              </w:rPr>
            </w:pPr>
            <w:r>
              <w:rPr>
                <w:rFonts w:hint="eastAsia" w:cs="宋体"/>
                <w:snapToGrid w:val="0"/>
                <w:color w:val="000000"/>
                <w:kern w:val="0"/>
                <w:sz w:val="24"/>
                <w:szCs w:val="24"/>
                <w:highlight w:val="none"/>
                <w:lang w:val="en-US" w:eastAsia="zh-CN" w:bidi="ar-SA"/>
              </w:rPr>
              <w:t>1.</w:t>
            </w:r>
            <w:r>
              <w:rPr>
                <w:rFonts w:hint="eastAsia" w:ascii="宋体" w:hAnsi="宋体" w:eastAsia="宋体" w:cs="宋体"/>
                <w:snapToGrid w:val="0"/>
                <w:color w:val="000000"/>
                <w:kern w:val="0"/>
                <w:sz w:val="24"/>
                <w:szCs w:val="24"/>
                <w:highlight w:val="none"/>
                <w:lang w:val="en-US" w:eastAsia="en-US" w:bidi="ar-SA"/>
              </w:rPr>
              <w:t>了解二极管、三极管</w:t>
            </w:r>
            <w:r>
              <w:rPr>
                <w:rFonts w:hint="eastAsia" w:ascii="宋体" w:hAnsi="宋体" w:eastAsia="宋体" w:cs="宋体"/>
                <w:snapToGrid w:val="0"/>
                <w:color w:val="000000"/>
                <w:kern w:val="0"/>
                <w:sz w:val="24"/>
                <w:szCs w:val="24"/>
                <w:highlight w:val="none"/>
                <w:lang w:val="en-US" w:eastAsia="zh-CN" w:bidi="ar-SA"/>
              </w:rPr>
              <w:t>、</w:t>
            </w:r>
            <w:r>
              <w:rPr>
                <w:rFonts w:hint="eastAsia" w:ascii="宋体" w:hAnsi="宋体" w:eastAsia="宋体" w:cs="宋体"/>
                <w:snapToGrid w:val="0"/>
                <w:color w:val="000000"/>
                <w:kern w:val="0"/>
                <w:sz w:val="24"/>
                <w:szCs w:val="24"/>
                <w:highlight w:val="none"/>
                <w:lang w:val="en-US" w:eastAsia="en-US" w:bidi="ar-SA"/>
              </w:rPr>
              <w:t>晶闸管、集成运算放大器等主要参数及应用。</w:t>
            </w:r>
          </w:p>
          <w:p w14:paraId="0E348CB9">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z w:val="24"/>
                <w:szCs w:val="24"/>
                <w:highlight w:val="none"/>
              </w:rPr>
            </w:pPr>
            <w:r>
              <w:rPr>
                <w:rFonts w:hint="eastAsia" w:cs="宋体"/>
                <w:snapToGrid w:val="0"/>
                <w:color w:val="000000"/>
                <w:kern w:val="0"/>
                <w:sz w:val="24"/>
                <w:szCs w:val="24"/>
                <w:highlight w:val="none"/>
                <w:lang w:val="en-US" w:eastAsia="zh-CN" w:bidi="ar-SA"/>
              </w:rPr>
              <w:t>2.</w:t>
            </w:r>
            <w:r>
              <w:rPr>
                <w:rFonts w:hint="eastAsia" w:ascii="宋体" w:hAnsi="宋体" w:eastAsia="宋体" w:cs="宋体"/>
                <w:snapToGrid w:val="0"/>
                <w:color w:val="000000"/>
                <w:kern w:val="0"/>
                <w:sz w:val="24"/>
                <w:szCs w:val="24"/>
                <w:highlight w:val="none"/>
                <w:lang w:val="en-US" w:eastAsia="en-US" w:bidi="ar-SA"/>
              </w:rPr>
              <w:t>了解组合逻辑电路和时序逻辑电路的工作原理和应用。</w:t>
            </w:r>
          </w:p>
          <w:p w14:paraId="5A08B708">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z w:val="24"/>
                <w:szCs w:val="24"/>
                <w:highlight w:val="none"/>
              </w:rPr>
            </w:pPr>
            <w:r>
              <w:rPr>
                <w:rFonts w:hint="eastAsia" w:cs="宋体"/>
                <w:snapToGrid w:val="0"/>
                <w:color w:val="000000"/>
                <w:kern w:val="0"/>
                <w:sz w:val="24"/>
                <w:szCs w:val="24"/>
                <w:highlight w:val="none"/>
                <w:lang w:val="en-US" w:eastAsia="zh-CN" w:bidi="ar-SA"/>
              </w:rPr>
              <w:t>3.</w:t>
            </w:r>
            <w:r>
              <w:rPr>
                <w:rFonts w:hint="eastAsia" w:ascii="宋体" w:hAnsi="宋体" w:eastAsia="宋体" w:cs="宋体"/>
                <w:snapToGrid w:val="0"/>
                <w:color w:val="000000"/>
                <w:kern w:val="0"/>
                <w:sz w:val="24"/>
                <w:szCs w:val="24"/>
                <w:highlight w:val="none"/>
                <w:lang w:val="en-US" w:eastAsia="en-US" w:bidi="ar-SA"/>
              </w:rPr>
              <w:t>理解放大电路、整流、滤波、 稳压电路的基本组成、工作原理、分析方法。</w:t>
            </w:r>
          </w:p>
          <w:p w14:paraId="728B29FD">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napToGrid w:val="0"/>
                <w:color w:val="000000"/>
                <w:kern w:val="0"/>
                <w:sz w:val="24"/>
                <w:szCs w:val="24"/>
                <w:highlight w:val="none"/>
                <w:lang w:val="en-US" w:eastAsia="en-US" w:bidi="ar-SA"/>
              </w:rPr>
            </w:pPr>
            <w:r>
              <w:rPr>
                <w:rFonts w:hint="eastAsia" w:cs="宋体"/>
                <w:snapToGrid w:val="0"/>
                <w:color w:val="000000"/>
                <w:kern w:val="0"/>
                <w:sz w:val="24"/>
                <w:szCs w:val="24"/>
                <w:highlight w:val="none"/>
                <w:lang w:val="en-US" w:eastAsia="zh-CN" w:bidi="ar-SA"/>
              </w:rPr>
              <w:t>4.</w:t>
            </w:r>
            <w:r>
              <w:rPr>
                <w:rFonts w:hint="eastAsia" w:ascii="宋体" w:hAnsi="宋体" w:eastAsia="宋体" w:cs="宋体"/>
                <w:snapToGrid w:val="0"/>
                <w:color w:val="000000"/>
                <w:kern w:val="0"/>
                <w:sz w:val="24"/>
                <w:szCs w:val="24"/>
                <w:highlight w:val="none"/>
                <w:lang w:val="en-US" w:eastAsia="en-US" w:bidi="ar-SA"/>
              </w:rPr>
              <w:t>掌握常用器件的识别和简单测</w:t>
            </w:r>
            <w:r>
              <w:rPr>
                <w:spacing w:val="-5"/>
                <w:highlight w:val="none"/>
              </w:rPr>
              <w:t>试。</w:t>
            </w:r>
          </w:p>
          <w:p w14:paraId="5FFECF39">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napToGrid w:val="0"/>
                <w:color w:val="000000"/>
                <w:kern w:val="0"/>
                <w:sz w:val="24"/>
                <w:szCs w:val="24"/>
                <w:highlight w:val="none"/>
                <w:lang w:val="en-US" w:eastAsia="en-US" w:bidi="ar-SA"/>
              </w:rPr>
            </w:pPr>
            <w:r>
              <w:rPr>
                <w:rFonts w:hint="eastAsia"/>
                <w:spacing w:val="-5"/>
                <w:highlight w:val="none"/>
                <w:lang w:val="en-US" w:eastAsia="zh-CN"/>
              </w:rPr>
              <w:t>5.</w:t>
            </w:r>
            <w:r>
              <w:rPr>
                <w:spacing w:val="-5"/>
                <w:highlight w:val="none"/>
              </w:rPr>
              <w:t>掌握单级小信号低</w:t>
            </w:r>
            <w:r>
              <w:rPr>
                <w:spacing w:val="4"/>
                <w:highlight w:val="none"/>
              </w:rPr>
              <w:t xml:space="preserve"> </w:t>
            </w:r>
            <w:r>
              <w:rPr>
                <w:spacing w:val="-1"/>
                <w:highlight w:val="none"/>
              </w:rPr>
              <w:t>频电压放</w:t>
            </w:r>
            <w:r>
              <w:rPr>
                <w:rFonts w:hint="eastAsia" w:ascii="宋体" w:hAnsi="宋体" w:eastAsia="宋体" w:cs="宋体"/>
                <w:snapToGrid w:val="0"/>
                <w:color w:val="000000"/>
                <w:kern w:val="0"/>
                <w:sz w:val="24"/>
                <w:szCs w:val="24"/>
                <w:highlight w:val="none"/>
                <w:lang w:val="en-US" w:eastAsia="en-US" w:bidi="ar-SA"/>
              </w:rPr>
              <w:t>大电路的组成、工作原理和分析方法。</w:t>
            </w:r>
          </w:p>
          <w:p w14:paraId="24313A6A">
            <w:pPr>
              <w:pStyle w:val="15"/>
              <w:keepNext w:val="0"/>
              <w:keepLines w:val="0"/>
              <w:pageBreakBefore w:val="0"/>
              <w:widowControl/>
              <w:numPr>
                <w:ilvl w:val="0"/>
                <w:numId w:val="0"/>
              </w:numPr>
              <w:wordWrap/>
              <w:overflowPunct/>
              <w:topLinePunct w:val="0"/>
              <w:bidi w:val="0"/>
              <w:spacing w:line="360" w:lineRule="auto"/>
              <w:ind w:right="0" w:rightChars="0"/>
              <w:jc w:val="left"/>
              <w:outlineLvl w:val="9"/>
              <w:rPr>
                <w:rFonts w:hint="eastAsia" w:ascii="宋体" w:hAnsi="宋体" w:eastAsia="宋体" w:cs="宋体"/>
                <w:snapToGrid w:val="0"/>
                <w:color w:val="000000"/>
                <w:kern w:val="0"/>
                <w:sz w:val="24"/>
                <w:szCs w:val="24"/>
                <w:highlight w:val="none"/>
                <w:lang w:val="en-US" w:eastAsia="en-US" w:bidi="ar-SA"/>
              </w:rPr>
            </w:pPr>
            <w:r>
              <w:rPr>
                <w:rFonts w:hint="eastAsia" w:cs="宋体"/>
                <w:snapToGrid w:val="0"/>
                <w:color w:val="000000"/>
                <w:kern w:val="0"/>
                <w:sz w:val="24"/>
                <w:szCs w:val="24"/>
                <w:highlight w:val="none"/>
                <w:lang w:val="en-US" w:eastAsia="zh-CN" w:bidi="ar-SA"/>
              </w:rPr>
              <w:t>6.</w:t>
            </w:r>
            <w:r>
              <w:rPr>
                <w:rFonts w:hint="eastAsia" w:ascii="宋体" w:hAnsi="宋体" w:eastAsia="宋体" w:cs="宋体"/>
                <w:snapToGrid w:val="0"/>
                <w:color w:val="000000"/>
                <w:kern w:val="0"/>
                <w:sz w:val="24"/>
                <w:szCs w:val="24"/>
                <w:highlight w:val="none"/>
                <w:lang w:val="en-US" w:eastAsia="en-US" w:bidi="ar-SA"/>
              </w:rPr>
              <w:t>掌握整流电路的输出输入电压 之间的关系。</w:t>
            </w:r>
          </w:p>
          <w:p w14:paraId="622826C8">
            <w:pPr>
              <w:pStyle w:val="17"/>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ascii="宋体" w:hAnsi="宋体" w:eastAsia="宋体" w:cs="宋体"/>
                <w:sz w:val="24"/>
                <w:szCs w:val="24"/>
                <w:highlight w:val="red"/>
                <w:lang w:eastAsia="zh-CN"/>
              </w:rPr>
            </w:pPr>
            <w:r>
              <w:rPr>
                <w:rFonts w:hint="eastAsia" w:ascii="宋体" w:hAnsi="宋体" w:eastAsia="宋体" w:cs="宋体"/>
                <w:snapToGrid w:val="0"/>
                <w:color w:val="000000"/>
                <w:kern w:val="0"/>
                <w:sz w:val="24"/>
                <w:szCs w:val="24"/>
                <w:highlight w:val="none"/>
                <w:lang w:val="en-US" w:eastAsia="zh-CN" w:bidi="ar-SA"/>
              </w:rPr>
              <w:t>7.</w:t>
            </w:r>
            <w:r>
              <w:rPr>
                <w:rFonts w:hint="eastAsia" w:ascii="宋体" w:hAnsi="宋体" w:eastAsia="宋体" w:cs="宋体"/>
                <w:snapToGrid w:val="0"/>
                <w:color w:val="000000"/>
                <w:kern w:val="0"/>
                <w:sz w:val="24"/>
                <w:szCs w:val="24"/>
                <w:highlight w:val="none"/>
                <w:lang w:val="en-US" w:eastAsia="en-US" w:bidi="ar-SA"/>
              </w:rPr>
              <w:t>掌握本门电路的符号及逻辑功能、基本触发器的符号及逻辑功能</w:t>
            </w:r>
            <w:r>
              <w:rPr>
                <w:rFonts w:hint="eastAsia" w:ascii="宋体" w:hAnsi="宋体" w:eastAsia="宋体" w:cs="宋体"/>
                <w:snapToGrid w:val="0"/>
                <w:color w:val="000000"/>
                <w:kern w:val="0"/>
                <w:sz w:val="24"/>
                <w:szCs w:val="24"/>
                <w:highlight w:val="none"/>
                <w:lang w:val="en-US" w:eastAsia="zh-CN" w:bidi="ar-SA"/>
              </w:rPr>
              <w:t>。</w:t>
            </w:r>
          </w:p>
        </w:tc>
        <w:tc>
          <w:tcPr>
            <w:tcW w:w="900" w:type="dxa"/>
            <w:vAlign w:val="center"/>
          </w:tcPr>
          <w:p w14:paraId="44DB2B3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144</w:t>
            </w:r>
          </w:p>
        </w:tc>
      </w:tr>
    </w:tbl>
    <w:p w14:paraId="5EE47256">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rPr>
      </w:pPr>
      <w:bookmarkStart w:id="41" w:name="_Toc7453"/>
      <w:r>
        <w:rPr>
          <w:rFonts w:hint="eastAsia" w:ascii="宋体" w:hAnsi="宋体" w:eastAsia="宋体" w:cs="宋体"/>
          <w:sz w:val="24"/>
          <w:szCs w:val="24"/>
          <w:lang w:val="en-US" w:eastAsia="zh-CN"/>
        </w:rPr>
        <w:t>2.专业核心课程</w:t>
      </w:r>
      <w:bookmarkEnd w:id="41"/>
    </w:p>
    <w:p w14:paraId="1DE3FB1D">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表</w:t>
      </w:r>
      <w:r>
        <w:rPr>
          <w:rFonts w:hint="eastAsia" w:ascii="宋体" w:hAnsi="宋体" w:eastAsia="宋体" w:cs="宋体"/>
          <w:sz w:val="24"/>
          <w:szCs w:val="24"/>
          <w:lang w:val="en-US" w:eastAsia="zh-CN"/>
        </w:rPr>
        <w:t>5</w:t>
      </w:r>
      <w:r>
        <w:rPr>
          <w:rFonts w:hint="eastAsia" w:ascii="宋体" w:hAnsi="宋体" w:eastAsia="宋体" w:cs="宋体"/>
          <w:sz w:val="24"/>
          <w:szCs w:val="24"/>
        </w:rPr>
        <w:t>：专业</w:t>
      </w:r>
      <w:r>
        <w:rPr>
          <w:rFonts w:hint="eastAsia" w:ascii="宋体" w:hAnsi="宋体" w:eastAsia="宋体" w:cs="宋体"/>
          <w:sz w:val="24"/>
          <w:szCs w:val="24"/>
          <w:lang w:eastAsia="zh-CN"/>
        </w:rPr>
        <w:t>核心</w:t>
      </w:r>
      <w:r>
        <w:rPr>
          <w:rFonts w:hint="eastAsia" w:ascii="宋体" w:hAnsi="宋体" w:eastAsia="宋体" w:cs="宋体"/>
          <w:sz w:val="24"/>
          <w:szCs w:val="24"/>
        </w:rPr>
        <w:t>课程设置</w:t>
      </w:r>
    </w:p>
    <w:tbl>
      <w:tblPr>
        <w:tblStyle w:val="12"/>
        <w:tblW w:w="9833" w:type="dxa"/>
        <w:tblInd w:w="-20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983"/>
        <w:gridCol w:w="3100"/>
        <w:gridCol w:w="4217"/>
        <w:gridCol w:w="900"/>
      </w:tblGrid>
      <w:tr w14:paraId="4CBF7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633" w:type="dxa"/>
            <w:shd w:val="clear" w:color="auto" w:fill="auto"/>
            <w:vAlign w:val="center"/>
          </w:tcPr>
          <w:p w14:paraId="2FDD4CAB">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序号</w:t>
            </w:r>
          </w:p>
        </w:tc>
        <w:tc>
          <w:tcPr>
            <w:tcW w:w="983" w:type="dxa"/>
            <w:shd w:val="clear" w:color="auto" w:fill="auto"/>
            <w:vAlign w:val="center"/>
          </w:tcPr>
          <w:p w14:paraId="689E875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rPr>
            </w:pPr>
            <w:r>
              <w:rPr>
                <w:rFonts w:hint="eastAsia" w:ascii="宋体" w:hAnsi="宋体" w:eastAsia="宋体" w:cs="宋体"/>
                <w:sz w:val="24"/>
                <w:szCs w:val="24"/>
              </w:rPr>
              <w:t>课程</w:t>
            </w:r>
          </w:p>
          <w:p w14:paraId="42496CD1">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名称</w:t>
            </w:r>
          </w:p>
        </w:tc>
        <w:tc>
          <w:tcPr>
            <w:tcW w:w="3100" w:type="dxa"/>
            <w:shd w:val="clear" w:color="auto" w:fill="auto"/>
            <w:vAlign w:val="center"/>
          </w:tcPr>
          <w:p w14:paraId="21BECD59">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napToGrid w:val="0"/>
                <w:color w:val="000000"/>
                <w:kern w:val="0"/>
                <w:sz w:val="24"/>
                <w:szCs w:val="24"/>
                <w:lang w:val="en-US" w:eastAsia="zh-CN" w:bidi="ar-SA"/>
              </w:rPr>
            </w:pPr>
            <w:r>
              <w:rPr>
                <w:rFonts w:hint="eastAsia" w:ascii="宋体" w:hAnsi="宋体" w:eastAsia="宋体" w:cs="宋体"/>
                <w:sz w:val="24"/>
                <w:szCs w:val="24"/>
                <w:lang w:val="en-US" w:eastAsia="zh-CN"/>
              </w:rPr>
              <w:t>典型工作任务描述</w:t>
            </w:r>
          </w:p>
        </w:tc>
        <w:tc>
          <w:tcPr>
            <w:tcW w:w="4217" w:type="dxa"/>
            <w:shd w:val="clear" w:color="auto" w:fill="auto"/>
            <w:vAlign w:val="center"/>
          </w:tcPr>
          <w:p w14:paraId="665D5BC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教学要求与主要内容</w:t>
            </w:r>
          </w:p>
        </w:tc>
        <w:tc>
          <w:tcPr>
            <w:tcW w:w="900" w:type="dxa"/>
            <w:shd w:val="clear" w:color="auto" w:fill="auto"/>
            <w:vAlign w:val="center"/>
          </w:tcPr>
          <w:p w14:paraId="7CFE2F6B">
            <w:pPr>
              <w:keepNext w:val="0"/>
              <w:keepLines w:val="0"/>
              <w:pageBreakBefore w:val="0"/>
              <w:widowControl w:val="0"/>
              <w:wordWrap/>
              <w:topLinePunct w:val="0"/>
              <w:bidi w:val="0"/>
              <w:spacing w:line="360" w:lineRule="auto"/>
              <w:jc w:val="center"/>
              <w:outlineLvl w:val="9"/>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z w:val="24"/>
                <w:szCs w:val="24"/>
              </w:rPr>
              <w:t>学时</w:t>
            </w:r>
          </w:p>
        </w:tc>
      </w:tr>
      <w:tr w14:paraId="77B4D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3242D55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p>
        </w:tc>
        <w:tc>
          <w:tcPr>
            <w:tcW w:w="983" w:type="dxa"/>
            <w:shd w:val="clear" w:color="auto" w:fill="auto"/>
            <w:vAlign w:val="center"/>
          </w:tcPr>
          <w:p w14:paraId="4A70C663">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新能源汽车维护</w:t>
            </w:r>
          </w:p>
        </w:tc>
        <w:tc>
          <w:tcPr>
            <w:tcW w:w="3100" w:type="dxa"/>
            <w:shd w:val="clear" w:color="auto" w:fill="auto"/>
            <w:vAlign w:val="center"/>
          </w:tcPr>
          <w:p w14:paraId="3D78315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1.高压部件绝缘检测与故障排查</w:t>
            </w:r>
          </w:p>
          <w:p w14:paraId="2F56BD3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2.高压系统断电与上电操作</w:t>
            </w:r>
          </w:p>
          <w:p w14:paraId="2A52458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3.动力电池维护与健康状态评估</w:t>
            </w:r>
          </w:p>
          <w:p w14:paraId="135AAEE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 xml:space="preserve">4.驱动电机与电控系统保养 </w:t>
            </w:r>
          </w:p>
          <w:p w14:paraId="62752FD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5.车载充电设备检修</w:t>
            </w:r>
          </w:p>
          <w:p w14:paraId="1E86515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6.充电设施联动调试</w:t>
            </w:r>
          </w:p>
          <w:p w14:paraId="64122BE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7.电驱动底盘专项保养</w:t>
            </w:r>
          </w:p>
          <w:p w14:paraId="45B107F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8.车身电气系统检修</w:t>
            </w:r>
          </w:p>
          <w:p w14:paraId="4FF0285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 xml:space="preserve"> </w:t>
            </w:r>
          </w:p>
          <w:p w14:paraId="4DE5AEB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p>
        </w:tc>
        <w:tc>
          <w:tcPr>
            <w:tcW w:w="4217" w:type="dxa"/>
            <w:shd w:val="clear" w:color="auto" w:fill="auto"/>
            <w:vAlign w:val="center"/>
          </w:tcPr>
          <w:p w14:paraId="1CE5408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1.</w:t>
            </w:r>
            <w:r>
              <w:rPr>
                <w:rFonts w:hint="eastAsia" w:ascii="宋体" w:hAnsi="宋体" w:eastAsia="宋体" w:cs="宋体"/>
                <w:spacing w:val="-7"/>
                <w:sz w:val="24"/>
                <w:szCs w:val="24"/>
                <w:lang w:val="en-US" w:eastAsia="en-US"/>
              </w:rPr>
              <w:t>掌握新能源汽车高压系统安全规范、三电系统（电池/电机/电控）工作原理及维护要点。</w:t>
            </w:r>
          </w:p>
          <w:p w14:paraId="7D08CCD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2.</w:t>
            </w:r>
            <w:r>
              <w:rPr>
                <w:rFonts w:hint="eastAsia" w:ascii="宋体" w:hAnsi="宋体" w:eastAsia="宋体" w:cs="宋体"/>
                <w:spacing w:val="-7"/>
                <w:sz w:val="24"/>
                <w:szCs w:val="24"/>
                <w:lang w:val="en-US" w:eastAsia="en-US"/>
              </w:rPr>
              <w:t>理解充电系统、底盘电气部件的结构差异与故障诊断逻辑。</w:t>
            </w:r>
          </w:p>
          <w:p w14:paraId="11D8EA6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3.</w:t>
            </w:r>
            <w:r>
              <w:rPr>
                <w:rFonts w:hint="eastAsia" w:ascii="宋体" w:hAnsi="宋体" w:eastAsia="宋体" w:cs="宋体"/>
                <w:spacing w:val="-7"/>
                <w:sz w:val="24"/>
                <w:szCs w:val="24"/>
                <w:lang w:val="en-US" w:eastAsia="en-US"/>
              </w:rPr>
              <w:t>熟悉新能源汽车维护行业标准（如GB/T 18384《电动汽车安全要求》）及环保规范。</w:t>
            </w:r>
          </w:p>
          <w:p w14:paraId="370D114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4.</w:t>
            </w:r>
            <w:r>
              <w:rPr>
                <w:rFonts w:hint="eastAsia" w:ascii="宋体" w:hAnsi="宋体" w:eastAsia="宋体" w:cs="宋体"/>
                <w:spacing w:val="-7"/>
                <w:sz w:val="24"/>
                <w:szCs w:val="24"/>
                <w:lang w:val="en-US" w:eastAsia="en-US"/>
              </w:rPr>
              <w:t>能独立完成高压系统断电、绝缘检测等安全操作，具备高压部件故障排查能力。</w:t>
            </w:r>
          </w:p>
          <w:p w14:paraId="3F1137D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5.</w:t>
            </w:r>
            <w:r>
              <w:rPr>
                <w:rFonts w:hint="eastAsia" w:ascii="宋体" w:hAnsi="宋体" w:eastAsia="宋体" w:cs="宋体"/>
                <w:spacing w:val="-7"/>
                <w:sz w:val="24"/>
                <w:szCs w:val="24"/>
                <w:lang w:val="en-US" w:eastAsia="en-US"/>
              </w:rPr>
              <w:t>可通过诊断仪读取故障码并分析数据流，制定三电系统维护方案。</w:t>
            </w:r>
          </w:p>
          <w:p w14:paraId="1CC5241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6.</w:t>
            </w:r>
            <w:r>
              <w:rPr>
                <w:rFonts w:hint="eastAsia" w:ascii="宋体" w:hAnsi="宋体" w:eastAsia="宋体" w:cs="宋体"/>
                <w:spacing w:val="-7"/>
                <w:sz w:val="24"/>
                <w:szCs w:val="24"/>
                <w:lang w:val="en-US" w:eastAsia="en-US"/>
              </w:rPr>
              <w:t>能根据车型制定维护计划，核算成本并规范处理废旧部件（如电池）。</w:t>
            </w:r>
          </w:p>
        </w:tc>
        <w:tc>
          <w:tcPr>
            <w:tcW w:w="900" w:type="dxa"/>
            <w:shd w:val="clear" w:color="auto" w:fill="auto"/>
            <w:vAlign w:val="center"/>
          </w:tcPr>
          <w:p w14:paraId="13F13F0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108</w:t>
            </w:r>
          </w:p>
        </w:tc>
      </w:tr>
      <w:tr w14:paraId="4156A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1AEAAE33">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p>
        </w:tc>
        <w:tc>
          <w:tcPr>
            <w:tcW w:w="983" w:type="dxa"/>
            <w:shd w:val="clear" w:color="auto" w:fill="auto"/>
            <w:vAlign w:val="center"/>
          </w:tcPr>
          <w:p w14:paraId="550915B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新能源汽车动力蓄电池系统构造与检修</w:t>
            </w:r>
          </w:p>
        </w:tc>
        <w:tc>
          <w:tcPr>
            <w:tcW w:w="3100" w:type="dxa"/>
            <w:shd w:val="clear" w:color="auto" w:fill="auto"/>
            <w:vAlign w:val="center"/>
          </w:tcPr>
          <w:p w14:paraId="63080DC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1.断电与防护：断开车辆高压电源，佩戴绝缘手套、护目镜等防护装备，确保检修环境安全。</w:t>
            </w:r>
          </w:p>
          <w:p w14:paraId="2B46644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2.漏电检测：使用专用设备检测电池包外壳及线路是否漏电，避免触电风险。</w:t>
            </w:r>
          </w:p>
          <w:p w14:paraId="41BA317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3.壳体与线束：查看电池包外壳是否有变形、裂纹或液体渗漏，检查连接线束是否松动、磨损或老化。</w:t>
            </w:r>
          </w:p>
          <w:p w14:paraId="1D9FCEC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4.接口与密封：检查电池包各接口（如高压接口、通信接口）的密封性，防止进水或灰尘影响性能。</w:t>
            </w:r>
          </w:p>
          <w:p w14:paraId="5D1CB71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5.电压与容量检测：使用电池检测仪测量单体电池电压、内阻及整体容量，判断电池是否存在单体失衡、容量衰减等问题。</w:t>
            </w:r>
          </w:p>
          <w:p w14:paraId="748A82F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6.温度与充放电测试：通过热成像仪监测电池包温度分布，模拟充放电过程，分析电池在不同工况下的性能稳定性。</w:t>
            </w:r>
          </w:p>
          <w:p w14:paraId="6908873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7.故障码读取：通过车辆诊断系统读取电池管理系统（BMS）故障码，定位如单体电压异常、温度传感器故障等问题。</w:t>
            </w:r>
          </w:p>
          <w:p w14:paraId="100EB4A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8.部件更换与修复：对损坏的单体电池、传感器、继电器等部件进行更换，修复或更换老化线路。</w:t>
            </w:r>
          </w:p>
          <w:p w14:paraId="68630ADC">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9.均衡调试：对电池组进行均衡处理，平衡单体电池电压，提升整体续航能力。</w:t>
            </w:r>
          </w:p>
          <w:p w14:paraId="142E001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10.数据记录与分析：记录检修数据（如电压、温度、充放电次数），分析电池健康状态（SOH），为后续维护提供依据。</w:t>
            </w:r>
          </w:p>
          <w:p w14:paraId="402ED0B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11.功能复检：恢复电源后，测试电池系统充放电功能、通信状态是否正常。</w:t>
            </w:r>
          </w:p>
          <w:p w14:paraId="2D64A94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12.安全确认：再次检测漏电情况，确保无安全隐患后，完成检修验收。</w:t>
            </w:r>
          </w:p>
        </w:tc>
        <w:tc>
          <w:tcPr>
            <w:tcW w:w="4217" w:type="dxa"/>
            <w:shd w:val="clear" w:color="auto" w:fill="auto"/>
            <w:vAlign w:val="center"/>
          </w:tcPr>
          <w:p w14:paraId="4DCB24C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1.</w:t>
            </w:r>
            <w:r>
              <w:rPr>
                <w:rFonts w:hint="eastAsia" w:ascii="宋体" w:hAnsi="宋体" w:eastAsia="宋体" w:cs="宋体"/>
                <w:spacing w:val="-7"/>
                <w:sz w:val="24"/>
                <w:szCs w:val="24"/>
                <w:lang w:val="en-US" w:eastAsia="en-US"/>
              </w:rPr>
              <w:t>掌握动力电池的基本原理、结构组成及核心参数（如电压、容量、能量密度）。理解电池管理系统（BMS）的功能与工作逻辑。</w:t>
            </w:r>
          </w:p>
          <w:p w14:paraId="2F98C19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2.</w:t>
            </w:r>
            <w:r>
              <w:rPr>
                <w:rFonts w:hint="eastAsia" w:ascii="宋体" w:hAnsi="宋体" w:eastAsia="宋体" w:cs="宋体"/>
                <w:spacing w:val="-7"/>
                <w:sz w:val="24"/>
                <w:szCs w:val="24"/>
                <w:lang w:val="en-US" w:eastAsia="en-US"/>
              </w:rPr>
              <w:t>熟悉动力电池的安全规范、国家标准（如GB/T 31467系列）。</w:t>
            </w:r>
          </w:p>
          <w:p w14:paraId="317DD50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3.</w:t>
            </w:r>
            <w:r>
              <w:rPr>
                <w:rFonts w:hint="eastAsia" w:ascii="宋体" w:hAnsi="宋体" w:eastAsia="宋体" w:cs="宋体"/>
                <w:spacing w:val="-7"/>
                <w:sz w:val="24"/>
                <w:szCs w:val="24"/>
                <w:lang w:val="en-US" w:eastAsia="en-US"/>
              </w:rPr>
              <w:t>能使用专业工具完成电池系统的拆装、检测与维护。</w:t>
            </w:r>
          </w:p>
          <w:p w14:paraId="51B1801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4.</w:t>
            </w:r>
            <w:r>
              <w:rPr>
                <w:rFonts w:hint="eastAsia" w:ascii="宋体" w:hAnsi="宋体" w:eastAsia="宋体" w:cs="宋体"/>
                <w:spacing w:val="-7"/>
                <w:sz w:val="24"/>
                <w:szCs w:val="24"/>
                <w:lang w:val="en-US" w:eastAsia="en-US"/>
              </w:rPr>
              <w:t>具备分析故障码、定位电池系统常见故障（如单体失衡、温度异常）的能力。</w:t>
            </w:r>
          </w:p>
          <w:p w14:paraId="0EFADFF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5.</w:t>
            </w:r>
            <w:r>
              <w:rPr>
                <w:rFonts w:hint="eastAsia" w:ascii="宋体" w:hAnsi="宋体" w:eastAsia="宋体" w:cs="宋体"/>
                <w:spacing w:val="-7"/>
                <w:sz w:val="24"/>
                <w:szCs w:val="24"/>
                <w:lang w:val="en-US" w:eastAsia="en-US"/>
              </w:rPr>
              <w:t>掌握电池健康状态（SOH）评估及充放电性能测试方法。</w:t>
            </w:r>
          </w:p>
          <w:p w14:paraId="135D529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 xml:space="preserve"> </w:t>
            </w:r>
          </w:p>
        </w:tc>
        <w:tc>
          <w:tcPr>
            <w:tcW w:w="900" w:type="dxa"/>
            <w:shd w:val="clear" w:color="auto" w:fill="auto"/>
            <w:vAlign w:val="center"/>
          </w:tcPr>
          <w:p w14:paraId="4142D594">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72</w:t>
            </w:r>
          </w:p>
        </w:tc>
      </w:tr>
      <w:tr w14:paraId="660AB6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C1C1FE7">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p>
        </w:tc>
        <w:tc>
          <w:tcPr>
            <w:tcW w:w="983" w:type="dxa"/>
            <w:shd w:val="clear" w:color="auto" w:fill="auto"/>
            <w:vAlign w:val="center"/>
          </w:tcPr>
          <w:p w14:paraId="0EA7C6EA">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新能源汽车驱动系统构造与检修</w:t>
            </w:r>
          </w:p>
        </w:tc>
        <w:tc>
          <w:tcPr>
            <w:tcW w:w="3100" w:type="dxa"/>
            <w:shd w:val="clear" w:color="auto" w:fill="auto"/>
            <w:vAlign w:val="center"/>
          </w:tcPr>
          <w:p w14:paraId="2C60FADA">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1.需熟悉新能源汽车驱动系统的电气原理与机械结构，结合诊断设备（如示波器、万用表）进行故障定位；</w:t>
            </w:r>
          </w:p>
          <w:p w14:paraId="14353FDF">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2.检修过程中需严格遵守高压安全规范，避免带电操作；</w:t>
            </w:r>
          </w:p>
          <w:p w14:paraId="7B078DD8">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3.针对不同车型（纯电动、插混等）的驱动系统差异，调整检修策略（如混动车型需兼顾发动机与电机的协同工作逻辑）。</w:t>
            </w:r>
          </w:p>
        </w:tc>
        <w:tc>
          <w:tcPr>
            <w:tcW w:w="4217" w:type="dxa"/>
            <w:shd w:val="clear" w:color="auto" w:fill="auto"/>
            <w:vAlign w:val="center"/>
          </w:tcPr>
          <w:p w14:paraId="5810ABC5">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1.</w:t>
            </w:r>
            <w:r>
              <w:rPr>
                <w:rFonts w:hint="eastAsia" w:ascii="宋体" w:hAnsi="宋体" w:eastAsia="宋体" w:cs="宋体"/>
                <w:spacing w:val="-7"/>
                <w:sz w:val="24"/>
                <w:szCs w:val="24"/>
                <w:lang w:val="en-US" w:eastAsia="en-US"/>
              </w:rPr>
              <w:t>学生应掌握驱动电机的性能评价参数和检测方法、电机控制器的自检与数据流读取方法等；</w:t>
            </w:r>
            <w:r>
              <w:rPr>
                <w:rFonts w:hint="eastAsia" w:ascii="宋体" w:hAnsi="宋体" w:eastAsia="宋体" w:cs="宋体"/>
                <w:spacing w:val="-7"/>
                <w:sz w:val="24"/>
                <w:szCs w:val="24"/>
                <w:lang w:val="en-US" w:eastAsia="en-US"/>
              </w:rPr>
              <w:br w:type="textWrapping"/>
            </w:r>
            <w:r>
              <w:rPr>
                <w:rFonts w:hint="eastAsia" w:ascii="宋体" w:hAnsi="宋体" w:eastAsia="宋体" w:cs="宋体"/>
                <w:spacing w:val="-7"/>
                <w:sz w:val="24"/>
                <w:szCs w:val="24"/>
                <w:lang w:val="en-US" w:eastAsia="zh-CN"/>
              </w:rPr>
              <w:t>2.</w:t>
            </w:r>
            <w:r>
              <w:rPr>
                <w:rFonts w:hint="eastAsia" w:ascii="宋体" w:hAnsi="宋体" w:eastAsia="宋体" w:cs="宋体"/>
                <w:spacing w:val="-7"/>
                <w:sz w:val="24"/>
                <w:szCs w:val="24"/>
                <w:lang w:val="en-US" w:eastAsia="en-US"/>
              </w:rPr>
              <w:t>熟悉典型车型驱动电机与控制器冷却系统的结构原理，以及驱动系统各部件的结构、工作原理和特点。</w:t>
            </w:r>
          </w:p>
          <w:p w14:paraId="0A7B8F24">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3.</w:t>
            </w:r>
            <w:r>
              <w:rPr>
                <w:rFonts w:hint="eastAsia" w:ascii="宋体" w:hAnsi="宋体" w:eastAsia="宋体" w:cs="宋体"/>
                <w:spacing w:val="-7"/>
                <w:sz w:val="24"/>
                <w:szCs w:val="24"/>
                <w:lang w:val="en-US" w:eastAsia="en-US"/>
              </w:rPr>
              <w:t>能够进行纯电动汽车和混合动力汽车驱动电机及控制器相关参数的检测，能对驱动电机与控制器冷却系统部件进行检修，可对新能源汽车电机的常见故障进行测试与维修，能使用专用检测仪器读取故障码，并判断故障的大致类型和位置。</w:t>
            </w:r>
          </w:p>
        </w:tc>
        <w:tc>
          <w:tcPr>
            <w:tcW w:w="900" w:type="dxa"/>
            <w:shd w:val="clear" w:color="auto" w:fill="auto"/>
            <w:vAlign w:val="center"/>
          </w:tcPr>
          <w:p w14:paraId="111361FC">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108</w:t>
            </w:r>
          </w:p>
        </w:tc>
      </w:tr>
      <w:tr w14:paraId="3BE83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44900E26">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p>
        </w:tc>
        <w:tc>
          <w:tcPr>
            <w:tcW w:w="983" w:type="dxa"/>
            <w:shd w:val="clear" w:color="auto" w:fill="auto"/>
            <w:vAlign w:val="center"/>
          </w:tcPr>
          <w:p w14:paraId="6AC7C11E">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混合动力汽车发动机构造与检修</w:t>
            </w:r>
          </w:p>
        </w:tc>
        <w:tc>
          <w:tcPr>
            <w:tcW w:w="3100" w:type="dxa"/>
            <w:shd w:val="clear" w:color="auto" w:fill="auto"/>
            <w:vAlign w:val="center"/>
          </w:tcPr>
          <w:p w14:paraId="27BCB208">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1.发动机常规检修与维护</w:t>
            </w:r>
          </w:p>
          <w:p w14:paraId="36A90E0A">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2.混动特有机电协同故障诊断</w:t>
            </w:r>
          </w:p>
          <w:p w14:paraId="4C28AB8D">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3.排放与能耗优化调试</w:t>
            </w:r>
          </w:p>
          <w:p w14:paraId="72A3A4C3">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4. 混动系统安全与特殊操作</w:t>
            </w:r>
          </w:p>
        </w:tc>
        <w:tc>
          <w:tcPr>
            <w:tcW w:w="4217" w:type="dxa"/>
            <w:shd w:val="clear" w:color="auto" w:fill="auto"/>
            <w:vAlign w:val="center"/>
          </w:tcPr>
          <w:p w14:paraId="2D800B00">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1.掌握混动系统的动力流逻辑（如串联、并联、混联模式的切换条件）；</w:t>
            </w:r>
          </w:p>
          <w:p w14:paraId="505FF509">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2.检修时需同步分析发动机数据（转速、负荷）与电机数据（扭矩、功率）的关联性；</w:t>
            </w:r>
          </w:p>
          <w:p w14:paraId="11E7EC0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3.针对不同混动构型（如比亚迪DM - i的单挡DMI vs 宝马i8的双速变速箱），调整故障诊断流程。</w:t>
            </w:r>
          </w:p>
        </w:tc>
        <w:tc>
          <w:tcPr>
            <w:tcW w:w="900" w:type="dxa"/>
            <w:shd w:val="clear" w:color="auto" w:fill="auto"/>
            <w:vAlign w:val="center"/>
          </w:tcPr>
          <w:p w14:paraId="6A6624DA">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90</w:t>
            </w:r>
          </w:p>
        </w:tc>
      </w:tr>
      <w:tr w14:paraId="7F2C93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00868738">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p>
        </w:tc>
        <w:tc>
          <w:tcPr>
            <w:tcW w:w="983" w:type="dxa"/>
            <w:shd w:val="clear" w:color="auto" w:fill="auto"/>
            <w:vAlign w:val="center"/>
          </w:tcPr>
          <w:p w14:paraId="29F0B0BD">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新能源汽车底盘构造与检修</w:t>
            </w:r>
          </w:p>
        </w:tc>
        <w:tc>
          <w:tcPr>
            <w:tcW w:w="3100" w:type="dxa"/>
            <w:shd w:val="clear" w:color="auto" w:fill="auto"/>
            <w:vAlign w:val="center"/>
          </w:tcPr>
          <w:p w14:paraId="1AA4EC6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1.电驱动底盘机械部件检修</w:t>
            </w:r>
          </w:p>
          <w:p w14:paraId="193D94A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2. 电控制动系统（EHB/EMB）故障诊断</w:t>
            </w:r>
          </w:p>
          <w:p w14:paraId="330BFB2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3. 电池包底盘关联检修</w:t>
            </w:r>
          </w:p>
          <w:p w14:paraId="37AB5EC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4. 智能化底盘系统调试</w:t>
            </w:r>
          </w:p>
          <w:p w14:paraId="3694987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p>
        </w:tc>
        <w:tc>
          <w:tcPr>
            <w:tcW w:w="4217" w:type="dxa"/>
            <w:shd w:val="clear" w:color="auto" w:fill="auto"/>
            <w:vAlign w:val="center"/>
          </w:tcPr>
          <w:p w14:paraId="4D1C170B">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掌握电驱动总成的技术参数（如电机最高转速15000rpm，减速器速比9:1）；</w:t>
            </w:r>
          </w:p>
          <w:p w14:paraId="1D120F43">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理解底盘系统与电气系统的联动逻辑（如能量回收时ESP对制动力的协调控制）；</w:t>
            </w:r>
          </w:p>
          <w:p w14:paraId="601247E8">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熟悉国标对底盘安全的要求（如制动系统双回路设计，单回路失效时制动力≥60%）</w:t>
            </w:r>
            <w:r>
              <w:rPr>
                <w:rFonts w:hint="eastAsia" w:ascii="宋体" w:hAnsi="宋体" w:eastAsia="宋体" w:cs="宋体"/>
                <w:spacing w:val="-7"/>
                <w:sz w:val="24"/>
                <w:szCs w:val="24"/>
                <w:lang w:val="en-US" w:eastAsia="zh-CN"/>
              </w:rPr>
              <w:t>；</w:t>
            </w:r>
          </w:p>
          <w:p w14:paraId="452FA7FF">
            <w:pPr>
              <w:keepNext w:val="0"/>
              <w:keepLines w:val="0"/>
              <w:pageBreakBefore w:val="0"/>
              <w:widowControl w:val="0"/>
              <w:numPr>
                <w:ilvl w:val="0"/>
                <w:numId w:val="5"/>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熟练操作四轮定位仪（测量精度±0.01°）、底盘异响诊断仪；</w:t>
            </w:r>
          </w:p>
          <w:p w14:paraId="6EEC775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5.</w:t>
            </w:r>
            <w:r>
              <w:rPr>
                <w:rFonts w:hint="eastAsia" w:ascii="宋体" w:hAnsi="宋体" w:eastAsia="宋体" w:cs="宋体"/>
                <w:spacing w:val="-7"/>
                <w:sz w:val="24"/>
                <w:szCs w:val="24"/>
                <w:lang w:val="en-US" w:eastAsia="en-US"/>
              </w:rPr>
              <w:t>能使用示波器检测电机编码器信号（方波频率随转速线性变化，误差≤±1%）</w:t>
            </w:r>
            <w:r>
              <w:rPr>
                <w:rFonts w:hint="eastAsia" w:ascii="宋体" w:hAnsi="宋体" w:eastAsia="宋体" w:cs="宋体"/>
                <w:spacing w:val="-7"/>
                <w:sz w:val="24"/>
                <w:szCs w:val="24"/>
                <w:lang w:val="en-US" w:eastAsia="zh-CN"/>
              </w:rPr>
              <w:t>；</w:t>
            </w:r>
          </w:p>
          <w:p w14:paraId="22968CD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6.</w:t>
            </w:r>
            <w:r>
              <w:rPr>
                <w:rFonts w:hint="eastAsia" w:ascii="宋体" w:hAnsi="宋体" w:eastAsia="宋体" w:cs="宋体"/>
                <w:spacing w:val="-7"/>
                <w:sz w:val="24"/>
                <w:szCs w:val="24"/>
                <w:lang w:val="en-US" w:eastAsia="en-US"/>
              </w:rPr>
              <w:t xml:space="preserve"> 独立更换电驱动减速器油封（要求安装后漏油量≤5滴/10min）；</w:t>
            </w:r>
          </w:p>
          <w:p w14:paraId="25ECF50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6.</w:t>
            </w:r>
            <w:r>
              <w:rPr>
                <w:rFonts w:hint="eastAsia" w:ascii="宋体" w:hAnsi="宋体" w:eastAsia="宋体" w:cs="宋体"/>
                <w:spacing w:val="-7"/>
                <w:sz w:val="24"/>
                <w:szCs w:val="24"/>
                <w:lang w:val="en-US" w:eastAsia="en-US"/>
              </w:rPr>
              <w:t>修复空气悬挂漏气故障（定位漏气点，更换密封件后气压校准）。</w:t>
            </w:r>
          </w:p>
        </w:tc>
        <w:tc>
          <w:tcPr>
            <w:tcW w:w="900" w:type="dxa"/>
            <w:shd w:val="clear" w:color="auto" w:fill="auto"/>
            <w:vAlign w:val="center"/>
          </w:tcPr>
          <w:p w14:paraId="170A7273">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126</w:t>
            </w:r>
          </w:p>
        </w:tc>
      </w:tr>
      <w:tr w14:paraId="091C2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2A0260CC">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p>
        </w:tc>
        <w:tc>
          <w:tcPr>
            <w:tcW w:w="983" w:type="dxa"/>
            <w:shd w:val="clear" w:color="auto" w:fill="auto"/>
            <w:vAlign w:val="center"/>
          </w:tcPr>
          <w:p w14:paraId="31C1B640">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新能源汽车电气系统构造与检修</w:t>
            </w:r>
          </w:p>
        </w:tc>
        <w:tc>
          <w:tcPr>
            <w:tcW w:w="3100" w:type="dxa"/>
            <w:shd w:val="clear" w:color="auto" w:fill="auto"/>
            <w:vAlign w:val="center"/>
          </w:tcPr>
          <w:p w14:paraId="5859F3B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1.高压电气系统核心部件检修</w:t>
            </w:r>
          </w:p>
          <w:p w14:paraId="1EDEDE9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2. 低压电控系统与智能化部件维护</w:t>
            </w:r>
          </w:p>
          <w:p w14:paraId="479D310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3. 电气系统安全与特殊操作</w:t>
            </w:r>
          </w:p>
          <w:p w14:paraId="768D9CB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4. 充电系统与能量管理检修</w:t>
            </w:r>
          </w:p>
        </w:tc>
        <w:tc>
          <w:tcPr>
            <w:tcW w:w="4217" w:type="dxa"/>
            <w:shd w:val="clear" w:color="auto" w:fill="auto"/>
            <w:vAlign w:val="center"/>
          </w:tcPr>
          <w:p w14:paraId="7698EAD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1.</w:t>
            </w:r>
            <w:r>
              <w:rPr>
                <w:rFonts w:hint="eastAsia" w:ascii="宋体" w:hAnsi="宋体" w:eastAsia="宋体" w:cs="宋体"/>
                <w:spacing w:val="-7"/>
                <w:sz w:val="24"/>
                <w:szCs w:val="24"/>
                <w:lang w:val="en-US" w:eastAsia="en-US"/>
              </w:rPr>
              <w:t>掌握高压部件的技术参数（如电机功率密度≥2.5kW/kg）、低压控制器的通讯协议（GB/T 18384-2021安全规范）；</w:t>
            </w:r>
          </w:p>
          <w:p w14:paraId="1E4FD0E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2.</w:t>
            </w:r>
            <w:r>
              <w:rPr>
                <w:rFonts w:hint="eastAsia" w:ascii="宋体" w:hAnsi="宋体" w:eastAsia="宋体" w:cs="宋体"/>
                <w:spacing w:val="-7"/>
                <w:sz w:val="24"/>
                <w:szCs w:val="24"/>
                <w:lang w:val="en-US" w:eastAsia="en-US"/>
              </w:rPr>
              <w:t>理解电气系统与底盘、车身的联动逻辑（如刹车时能量回收系统介入）。</w:t>
            </w:r>
          </w:p>
          <w:p w14:paraId="6C880E7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3.</w:t>
            </w:r>
            <w:r>
              <w:rPr>
                <w:rFonts w:hint="eastAsia" w:ascii="宋体" w:hAnsi="宋体" w:eastAsia="宋体" w:cs="宋体"/>
                <w:spacing w:val="-7"/>
                <w:sz w:val="24"/>
                <w:szCs w:val="24"/>
                <w:lang w:val="en-US" w:eastAsia="en-US"/>
              </w:rPr>
              <w:t>熟练操作示波器（测量IGBT驱动波形，上升沿时间＜1μs）、绝缘测试仪；</w:t>
            </w:r>
          </w:p>
          <w:p w14:paraId="3659103A">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 能使用诊断仪（如元征X431）读取BMS数据（单体电压、温度传感器值）。</w:t>
            </w:r>
          </w:p>
          <w:p w14:paraId="1468883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4.</w:t>
            </w:r>
            <w:r>
              <w:rPr>
                <w:rFonts w:hint="eastAsia" w:ascii="宋体" w:hAnsi="宋体" w:eastAsia="宋体" w:cs="宋体"/>
                <w:spacing w:val="-7"/>
                <w:sz w:val="24"/>
                <w:szCs w:val="24"/>
                <w:lang w:val="en-US" w:eastAsia="en-US"/>
              </w:rPr>
              <w:t>独立完成高压线束导通性测试（电阻＜50mΩ），修复接触不良；</w:t>
            </w:r>
          </w:p>
          <w:p w14:paraId="05E42F1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en-US"/>
              </w:rPr>
              <w:t>- 更换DC/DC转换器（输出电压需稳定在13.5-14.5V），校准输出精度。</w:t>
            </w:r>
          </w:p>
        </w:tc>
        <w:tc>
          <w:tcPr>
            <w:tcW w:w="900" w:type="dxa"/>
            <w:shd w:val="clear" w:color="auto" w:fill="auto"/>
            <w:vAlign w:val="center"/>
          </w:tcPr>
          <w:p w14:paraId="0F920EFD">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234</w:t>
            </w:r>
          </w:p>
        </w:tc>
      </w:tr>
      <w:tr w14:paraId="6B5394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trPr>
        <w:tc>
          <w:tcPr>
            <w:tcW w:w="633" w:type="dxa"/>
            <w:shd w:val="clear" w:color="auto" w:fill="auto"/>
            <w:vAlign w:val="center"/>
          </w:tcPr>
          <w:p w14:paraId="02F7D284">
            <w:pPr>
              <w:keepNext w:val="0"/>
              <w:keepLines w:val="0"/>
              <w:pageBreakBefore w:val="0"/>
              <w:widowControl w:val="0"/>
              <w:wordWrap/>
              <w:topLinePunct w:val="0"/>
              <w:bidi w:val="0"/>
              <w:spacing w:line="360" w:lineRule="auto"/>
              <w:jc w:val="center"/>
              <w:outlineLvl w:val="9"/>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p>
        </w:tc>
        <w:tc>
          <w:tcPr>
            <w:tcW w:w="983" w:type="dxa"/>
            <w:shd w:val="clear" w:color="auto" w:fill="auto"/>
            <w:vAlign w:val="center"/>
          </w:tcPr>
          <w:p w14:paraId="3216C686">
            <w:pPr>
              <w:keepNext w:val="0"/>
              <w:keepLines w:val="0"/>
              <w:pageBreakBefore w:val="0"/>
              <w:widowControl w:val="0"/>
              <w:kinsoku w:val="0"/>
              <w:wordWrap/>
              <w:overflowPunct/>
              <w:topLinePunct w:val="0"/>
              <w:autoSpaceDE w:val="0"/>
              <w:autoSpaceDN w:val="0"/>
              <w:bidi w:val="0"/>
              <w:adjustRightInd w:val="0"/>
              <w:snapToGrid w:val="0"/>
              <w:spacing w:line="360" w:lineRule="auto"/>
              <w:jc w:val="center"/>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新能源汽车充电桩系统构造与检修</w:t>
            </w:r>
          </w:p>
        </w:tc>
        <w:tc>
          <w:tcPr>
            <w:tcW w:w="3100" w:type="dxa"/>
            <w:shd w:val="clear" w:color="auto" w:fill="auto"/>
            <w:vAlign w:val="center"/>
          </w:tcPr>
          <w:p w14:paraId="20D0B91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1.充电模块与功率单元检修</w:t>
            </w:r>
          </w:p>
          <w:p w14:paraId="6C54E18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2. 控制与通讯系统故障诊断</w:t>
            </w:r>
          </w:p>
          <w:p w14:paraId="440F88B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3. 充电接口与安全装置检修</w:t>
            </w:r>
          </w:p>
          <w:p w14:paraId="708D6DD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4. 电源分配与散热系统维护</w:t>
            </w:r>
          </w:p>
        </w:tc>
        <w:tc>
          <w:tcPr>
            <w:tcW w:w="4217" w:type="dxa"/>
            <w:shd w:val="clear" w:color="auto" w:fill="auto"/>
            <w:vAlign w:val="center"/>
          </w:tcPr>
          <w:p w14:paraId="244C6EF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1.</w:t>
            </w:r>
            <w:r>
              <w:rPr>
                <w:rFonts w:hint="eastAsia" w:ascii="宋体" w:hAnsi="宋体" w:eastAsia="宋体" w:cs="宋体"/>
                <w:spacing w:val="-7"/>
                <w:sz w:val="24"/>
                <w:szCs w:val="24"/>
                <w:lang w:val="en-US" w:eastAsia="en-US"/>
              </w:rPr>
              <w:t>学生应掌握充电桩的功能、分类和工作原理，熟悉充电桩的技术要求和基本参数，了解充电桩的使用管理规定。</w:t>
            </w:r>
          </w:p>
          <w:p w14:paraId="667C6EA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en-US"/>
              </w:rPr>
            </w:pPr>
            <w:r>
              <w:rPr>
                <w:rFonts w:hint="eastAsia" w:ascii="宋体" w:hAnsi="宋体" w:eastAsia="宋体" w:cs="宋体"/>
                <w:spacing w:val="-7"/>
                <w:sz w:val="24"/>
                <w:szCs w:val="24"/>
                <w:lang w:val="en-US" w:eastAsia="zh-CN"/>
              </w:rPr>
              <w:t>2.</w:t>
            </w:r>
            <w:r>
              <w:rPr>
                <w:rFonts w:hint="eastAsia" w:ascii="宋体" w:hAnsi="宋体" w:eastAsia="宋体" w:cs="宋体"/>
                <w:spacing w:val="-7"/>
                <w:sz w:val="24"/>
                <w:szCs w:val="24"/>
                <w:lang w:val="en-US" w:eastAsia="en-US"/>
              </w:rPr>
              <w:t>能够完成充电桩例行检查项目，熟练进行充电基本操作，能正确使用检测工具和仪器，如万用表、绝缘电阻测试仪等，具备独立诊断和修复常见故障的能力。</w:t>
            </w:r>
          </w:p>
        </w:tc>
        <w:tc>
          <w:tcPr>
            <w:tcW w:w="900" w:type="dxa"/>
            <w:shd w:val="clear" w:color="auto" w:fill="auto"/>
            <w:vAlign w:val="center"/>
          </w:tcPr>
          <w:p w14:paraId="1BD93941">
            <w:pPr>
              <w:keepNext w:val="0"/>
              <w:keepLines w:val="0"/>
              <w:pageBreakBefore w:val="0"/>
              <w:widowControl w:val="0"/>
              <w:wordWrap/>
              <w:topLinePunct w:val="0"/>
              <w:bidi w:val="0"/>
              <w:spacing w:line="360" w:lineRule="auto"/>
              <w:jc w:val="center"/>
              <w:outlineLvl w:val="9"/>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144</w:t>
            </w:r>
          </w:p>
        </w:tc>
      </w:tr>
    </w:tbl>
    <w:p w14:paraId="1EA047EF">
      <w:pPr>
        <w:keepNext w:val="0"/>
        <w:keepLines w:val="0"/>
        <w:pageBreakBefore w:val="0"/>
        <w:wordWrap/>
        <w:topLinePunct w:val="0"/>
        <w:bidi w:val="0"/>
        <w:spacing w:line="290" w:lineRule="auto"/>
        <w:outlineLvl w:val="9"/>
        <w:rPr>
          <w:rFonts w:ascii="Arial"/>
          <w:sz w:val="21"/>
          <w:highlight w:val="none"/>
        </w:rPr>
      </w:pPr>
    </w:p>
    <w:p w14:paraId="222FCDEA">
      <w:pPr>
        <w:keepNext w:val="0"/>
        <w:keepLines w:val="0"/>
        <w:pageBreakBefore w:val="0"/>
        <w:numPr>
          <w:ilvl w:val="0"/>
          <w:numId w:val="0"/>
        </w:numPr>
        <w:wordWrap/>
        <w:topLinePunct w:val="0"/>
        <w:bidi w:val="0"/>
        <w:adjustRightInd w:val="0"/>
        <w:spacing w:line="360" w:lineRule="auto"/>
        <w:ind w:leftChars="0"/>
        <w:outlineLvl w:val="9"/>
        <w:rPr>
          <w:rFonts w:hint="default" w:ascii="宋体" w:hAnsi="宋体" w:eastAsia="宋体" w:cs="宋体"/>
          <w:sz w:val="24"/>
          <w:szCs w:val="24"/>
          <w:highlight w:val="none"/>
          <w:lang w:val="en-US" w:eastAsia="zh-CN"/>
        </w:rPr>
      </w:pPr>
      <w:bookmarkStart w:id="42" w:name="_Toc7345"/>
      <w:r>
        <w:rPr>
          <w:rFonts w:hint="eastAsia" w:ascii="宋体" w:hAnsi="宋体" w:eastAsia="宋体" w:cs="宋体"/>
          <w:sz w:val="24"/>
          <w:szCs w:val="24"/>
          <w:highlight w:val="none"/>
          <w:lang w:val="en-US" w:eastAsia="zh-CN"/>
        </w:rPr>
        <w:t>3.专业拓展课程包括：</w:t>
      </w:r>
      <w:bookmarkEnd w:id="42"/>
      <w:r>
        <w:rPr>
          <w:rFonts w:hint="eastAsia" w:ascii="宋体" w:hAnsi="宋体" w:eastAsia="宋体" w:cs="宋体"/>
          <w:sz w:val="24"/>
          <w:szCs w:val="24"/>
          <w:highlight w:val="none"/>
          <w:lang w:val="en-US" w:eastAsia="zh-CN"/>
        </w:rPr>
        <w:t>汽车营销和智能新能源汽车2门。</w:t>
      </w:r>
    </w:p>
    <w:p w14:paraId="1F2003A8">
      <w:pPr>
        <w:pStyle w:val="4"/>
        <w:keepNext w:val="0"/>
        <w:keepLines w:val="0"/>
        <w:pageBreakBefore w:val="0"/>
        <w:wordWrap/>
        <w:topLinePunct w:val="0"/>
        <w:bidi w:val="0"/>
        <w:spacing w:before="78" w:line="360" w:lineRule="auto"/>
        <w:ind w:left="3696"/>
        <w:outlineLvl w:val="9"/>
        <w:rPr>
          <w:rFonts w:hint="eastAsia" w:ascii="宋体" w:hAnsi="宋体" w:eastAsia="宋体" w:cs="宋体"/>
          <w:sz w:val="24"/>
          <w:szCs w:val="24"/>
          <w:highlight w:val="none"/>
        </w:rPr>
      </w:pPr>
      <w:bookmarkStart w:id="43" w:name="_Toc25933"/>
      <w:r>
        <w:rPr>
          <w:rFonts w:hint="eastAsia" w:ascii="宋体" w:hAnsi="宋体" w:eastAsia="宋体" w:cs="宋体"/>
          <w:spacing w:val="-4"/>
          <w:sz w:val="24"/>
          <w:szCs w:val="24"/>
          <w:highlight w:val="none"/>
        </w:rPr>
        <w:t>表</w:t>
      </w:r>
      <w:r>
        <w:rPr>
          <w:rFonts w:hint="eastAsia" w:cs="宋体"/>
          <w:spacing w:val="-40"/>
          <w:sz w:val="24"/>
          <w:szCs w:val="24"/>
          <w:highlight w:val="none"/>
          <w:lang w:val="en-US" w:eastAsia="zh-CN"/>
        </w:rPr>
        <w:t xml:space="preserve">6 </w:t>
      </w:r>
      <w:r>
        <w:rPr>
          <w:rFonts w:hint="eastAsia" w:ascii="宋体" w:hAnsi="宋体" w:eastAsia="宋体" w:cs="宋体"/>
          <w:spacing w:val="-50"/>
          <w:sz w:val="24"/>
          <w:szCs w:val="24"/>
          <w:highlight w:val="none"/>
        </w:rPr>
        <w:t xml:space="preserve"> </w:t>
      </w:r>
      <w:r>
        <w:rPr>
          <w:rFonts w:hint="eastAsia" w:ascii="宋体" w:hAnsi="宋体" w:eastAsia="宋体" w:cs="宋体"/>
          <w:spacing w:val="-4"/>
          <w:sz w:val="24"/>
          <w:szCs w:val="24"/>
          <w:highlight w:val="none"/>
        </w:rPr>
        <w:t>专业</w:t>
      </w:r>
      <w:r>
        <w:rPr>
          <w:rFonts w:hint="eastAsia" w:cs="宋体"/>
          <w:spacing w:val="-4"/>
          <w:sz w:val="24"/>
          <w:szCs w:val="24"/>
          <w:highlight w:val="none"/>
          <w:lang w:eastAsia="zh-CN"/>
        </w:rPr>
        <w:t>拓展</w:t>
      </w:r>
      <w:r>
        <w:rPr>
          <w:rFonts w:hint="eastAsia" w:ascii="宋体" w:hAnsi="宋体" w:eastAsia="宋体" w:cs="宋体"/>
          <w:spacing w:val="-4"/>
          <w:sz w:val="24"/>
          <w:szCs w:val="24"/>
          <w:highlight w:val="none"/>
        </w:rPr>
        <w:t>课程设置</w:t>
      </w:r>
      <w:bookmarkEnd w:id="43"/>
    </w:p>
    <w:tbl>
      <w:tblPr>
        <w:tblStyle w:val="14"/>
        <w:tblW w:w="9850" w:type="dxa"/>
        <w:tblInd w:w="-334"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33"/>
        <w:gridCol w:w="1017"/>
        <w:gridCol w:w="3083"/>
        <w:gridCol w:w="4217"/>
        <w:gridCol w:w="900"/>
      </w:tblGrid>
      <w:tr w14:paraId="0F1CC1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33" w:type="dxa"/>
            <w:shd w:val="clear" w:color="auto" w:fill="auto"/>
            <w:vAlign w:val="center"/>
          </w:tcPr>
          <w:p w14:paraId="262AF744">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序号</w:t>
            </w:r>
          </w:p>
        </w:tc>
        <w:tc>
          <w:tcPr>
            <w:tcW w:w="1017" w:type="dxa"/>
            <w:shd w:val="clear" w:color="auto" w:fill="auto"/>
            <w:vAlign w:val="center"/>
          </w:tcPr>
          <w:p w14:paraId="0C95ED6E">
            <w:pPr>
              <w:keepNext w:val="0"/>
              <w:keepLines w:val="0"/>
              <w:pageBreakBefore w:val="0"/>
              <w:wordWrap/>
              <w:topLinePunct w:val="0"/>
              <w:bidi w:val="0"/>
              <w:spacing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课程</w:t>
            </w:r>
          </w:p>
          <w:p w14:paraId="44E8D89D">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名称</w:t>
            </w:r>
          </w:p>
        </w:tc>
        <w:tc>
          <w:tcPr>
            <w:tcW w:w="3083" w:type="dxa"/>
            <w:shd w:val="clear" w:color="auto" w:fill="auto"/>
            <w:vAlign w:val="center"/>
          </w:tcPr>
          <w:p w14:paraId="13387333">
            <w:pPr>
              <w:pStyle w:val="17"/>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highlight w:val="none"/>
                <w:lang w:val="en-US" w:eastAsia="zh-CN" w:bidi="ar-SA"/>
              </w:rPr>
            </w:pPr>
            <w:r>
              <w:rPr>
                <w:rFonts w:hint="eastAsia" w:ascii="宋体" w:hAnsi="宋体" w:eastAsia="宋体" w:cs="宋体"/>
                <w:sz w:val="24"/>
                <w:szCs w:val="24"/>
                <w:highlight w:val="none"/>
                <w:lang w:val="en-US" w:eastAsia="zh-CN"/>
              </w:rPr>
              <w:t>典型工作任务描述</w:t>
            </w:r>
          </w:p>
        </w:tc>
        <w:tc>
          <w:tcPr>
            <w:tcW w:w="4217" w:type="dxa"/>
            <w:shd w:val="clear" w:color="auto" w:fill="auto"/>
            <w:vAlign w:val="center"/>
          </w:tcPr>
          <w:p w14:paraId="7B1F178E">
            <w:pPr>
              <w:pStyle w:val="17"/>
              <w:keepNext w:val="0"/>
              <w:keepLines w:val="0"/>
              <w:pageBreakBefore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教学要求与主要内容</w:t>
            </w:r>
          </w:p>
        </w:tc>
        <w:tc>
          <w:tcPr>
            <w:tcW w:w="900" w:type="dxa"/>
            <w:shd w:val="clear" w:color="auto" w:fill="auto"/>
            <w:vAlign w:val="center"/>
          </w:tcPr>
          <w:p w14:paraId="4031D4CA">
            <w:pPr>
              <w:keepNext w:val="0"/>
              <w:keepLines w:val="0"/>
              <w:pageBreakBefore w:val="0"/>
              <w:wordWrap/>
              <w:topLinePunct w:val="0"/>
              <w:bidi w:val="0"/>
              <w:spacing w:line="360" w:lineRule="auto"/>
              <w:jc w:val="center"/>
              <w:outlineLvl w:val="9"/>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z w:val="24"/>
                <w:szCs w:val="24"/>
                <w:highlight w:val="none"/>
              </w:rPr>
              <w:t>学时</w:t>
            </w:r>
          </w:p>
        </w:tc>
      </w:tr>
      <w:tr w14:paraId="63F84EA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7" w:hRule="atLeast"/>
        </w:trPr>
        <w:tc>
          <w:tcPr>
            <w:tcW w:w="633" w:type="dxa"/>
            <w:vAlign w:val="center"/>
          </w:tcPr>
          <w:p w14:paraId="465B9895">
            <w:pPr>
              <w:pStyle w:val="15"/>
              <w:keepNext w:val="0"/>
              <w:keepLines w:val="0"/>
              <w:pageBreakBefore w:val="0"/>
              <w:wordWrap/>
              <w:topLinePunct w:val="0"/>
              <w:bidi w:val="0"/>
              <w:spacing w:before="78" w:line="360" w:lineRule="auto"/>
              <w:ind w:left="133"/>
              <w:outlineLvl w:val="9"/>
              <w:rPr>
                <w:rFonts w:hint="eastAsia" w:ascii="宋体" w:hAnsi="宋体" w:eastAsia="宋体" w:cs="宋体"/>
                <w:sz w:val="24"/>
                <w:szCs w:val="24"/>
                <w:highlight w:val="none"/>
                <w:lang w:val="en-US" w:eastAsia="zh-CN"/>
              </w:rPr>
            </w:pPr>
            <w:r>
              <w:rPr>
                <w:rFonts w:hint="eastAsia" w:cs="宋体"/>
                <w:sz w:val="24"/>
                <w:szCs w:val="24"/>
                <w:highlight w:val="none"/>
                <w:lang w:val="en-US" w:eastAsia="zh-CN"/>
              </w:rPr>
              <w:t>1</w:t>
            </w:r>
          </w:p>
        </w:tc>
        <w:tc>
          <w:tcPr>
            <w:tcW w:w="1017" w:type="dxa"/>
            <w:vAlign w:val="center"/>
          </w:tcPr>
          <w:p w14:paraId="6AA44A66">
            <w:pPr>
              <w:pStyle w:val="15"/>
              <w:keepNext w:val="0"/>
              <w:keepLines w:val="0"/>
              <w:pageBreakBefore w:val="0"/>
              <w:wordWrap/>
              <w:topLinePunct w:val="0"/>
              <w:bidi w:val="0"/>
              <w:spacing w:before="78" w:line="360" w:lineRule="auto"/>
              <w:ind w:left="114"/>
              <w:outlineLvl w:val="9"/>
              <w:rPr>
                <w:rFonts w:hint="eastAsia" w:ascii="宋体" w:hAnsi="宋体" w:eastAsia="宋体" w:cs="宋体"/>
                <w:sz w:val="24"/>
                <w:szCs w:val="24"/>
                <w:highlight w:val="none"/>
                <w:lang w:eastAsia="zh-CN"/>
              </w:rPr>
            </w:pPr>
            <w:r>
              <w:rPr>
                <w:rFonts w:hint="eastAsia" w:cs="宋体"/>
                <w:sz w:val="24"/>
                <w:szCs w:val="24"/>
                <w:highlight w:val="none"/>
                <w:lang w:eastAsia="zh-CN"/>
              </w:rPr>
              <w:t>汽车营销</w:t>
            </w:r>
          </w:p>
        </w:tc>
        <w:tc>
          <w:tcPr>
            <w:tcW w:w="3083" w:type="dxa"/>
            <w:shd w:val="clear" w:color="auto" w:fill="auto"/>
            <w:vAlign w:val="center"/>
          </w:tcPr>
          <w:p w14:paraId="2723FDB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汽车营销》是汽车运用与专业的专业核心课程。其功能在于力求把传授知识和培养实践技能结合起来，强调理论知识的应用性，培养学生的逻辑思维和分析能力，使之具备从事汽车营销的基本能力。通过学习，使学生了解汽车营销市场的形成和发展，掌握汽车营销的技巧并学会实务操作，理解汽车产品质量对汽车生产、销售企业以及客户的重大意义，并能借助电子商务平台进行汽车营销活动</w:t>
            </w:r>
          </w:p>
        </w:tc>
        <w:tc>
          <w:tcPr>
            <w:tcW w:w="4217" w:type="dxa"/>
            <w:shd w:val="clear" w:color="auto" w:fill="auto"/>
            <w:vAlign w:val="center"/>
          </w:tcPr>
          <w:p w14:paraId="0F525AC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了解汽车客户。业务人员需要主动与客户进行沟通，了解客户的需求和购车意向。</w:t>
            </w:r>
          </w:p>
          <w:p w14:paraId="2D5ABBC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客户跟踪。业务人员需要认真打扫责任内的卫生，注意保持汽车展场、展厅地面、展车、展台、资料架、车前牌、垃圾桶等公司内、外的清洁。</w:t>
            </w:r>
          </w:p>
          <w:p w14:paraId="3CA5A5A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销售导购。业务人员需要为客户提供顾问式的专业汽车消费咨询和导购服务的汽车销售服务人员。</w:t>
            </w:r>
          </w:p>
          <w:p w14:paraId="6E3AFCD5">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销售洽谈。业务人员需要与客户进行电话、信函联系，开展跟踪服务。</w:t>
            </w:r>
          </w:p>
          <w:p w14:paraId="1F551C0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销售成交。业务人员需要与客户协商并达成购车合同，促成销售交易的完成</w:t>
            </w:r>
          </w:p>
          <w:p w14:paraId="0BB8ED6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p>
        </w:tc>
        <w:tc>
          <w:tcPr>
            <w:tcW w:w="900" w:type="dxa"/>
            <w:vAlign w:val="center"/>
          </w:tcPr>
          <w:p w14:paraId="19815271">
            <w:pPr>
              <w:pStyle w:val="15"/>
              <w:keepNext w:val="0"/>
              <w:keepLines w:val="0"/>
              <w:pageBreakBefore w:val="0"/>
              <w:wordWrap/>
              <w:topLinePunct w:val="0"/>
              <w:bidi w:val="0"/>
              <w:spacing w:before="78" w:line="360" w:lineRule="auto"/>
              <w:jc w:val="center"/>
              <w:outlineLvl w:val="9"/>
              <w:rPr>
                <w:rFonts w:hint="default" w:ascii="宋体" w:hAnsi="宋体" w:eastAsia="宋体" w:cs="宋体"/>
                <w:sz w:val="24"/>
                <w:szCs w:val="24"/>
                <w:highlight w:val="none"/>
                <w:lang w:val="en-US" w:eastAsia="zh-CN"/>
              </w:rPr>
            </w:pPr>
            <w:r>
              <w:rPr>
                <w:rFonts w:hint="eastAsia" w:cs="宋体"/>
                <w:sz w:val="24"/>
                <w:szCs w:val="24"/>
                <w:highlight w:val="none"/>
                <w:lang w:val="en-US" w:eastAsia="zh-CN"/>
              </w:rPr>
              <w:t>126</w:t>
            </w:r>
          </w:p>
        </w:tc>
      </w:tr>
      <w:tr w14:paraId="2EE6EEC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57" w:hRule="atLeast"/>
        </w:trPr>
        <w:tc>
          <w:tcPr>
            <w:tcW w:w="633" w:type="dxa"/>
            <w:vAlign w:val="center"/>
          </w:tcPr>
          <w:p w14:paraId="58BEDC5B">
            <w:pPr>
              <w:pStyle w:val="15"/>
              <w:keepNext w:val="0"/>
              <w:keepLines w:val="0"/>
              <w:pageBreakBefore w:val="0"/>
              <w:wordWrap/>
              <w:topLinePunct w:val="0"/>
              <w:bidi w:val="0"/>
              <w:spacing w:before="78" w:line="360" w:lineRule="auto"/>
              <w:ind w:left="133"/>
              <w:outlineLvl w:val="9"/>
              <w:rPr>
                <w:rFonts w:hint="eastAsia" w:ascii="宋体" w:hAnsi="宋体" w:eastAsia="宋体" w:cs="宋体"/>
                <w:sz w:val="24"/>
                <w:szCs w:val="24"/>
                <w:highlight w:val="none"/>
                <w:lang w:val="en-US" w:eastAsia="zh-CN"/>
              </w:rPr>
            </w:pPr>
            <w:r>
              <w:rPr>
                <w:rFonts w:hint="eastAsia" w:cs="宋体"/>
                <w:sz w:val="24"/>
                <w:szCs w:val="24"/>
                <w:highlight w:val="none"/>
                <w:lang w:val="en-US" w:eastAsia="zh-CN"/>
              </w:rPr>
              <w:t>2</w:t>
            </w:r>
          </w:p>
        </w:tc>
        <w:tc>
          <w:tcPr>
            <w:tcW w:w="1017" w:type="dxa"/>
            <w:vAlign w:val="center"/>
          </w:tcPr>
          <w:p w14:paraId="3C12781B">
            <w:pPr>
              <w:pStyle w:val="15"/>
              <w:keepNext w:val="0"/>
              <w:keepLines w:val="0"/>
              <w:pageBreakBefore w:val="0"/>
              <w:wordWrap/>
              <w:topLinePunct w:val="0"/>
              <w:bidi w:val="0"/>
              <w:spacing w:before="78" w:line="360" w:lineRule="auto"/>
              <w:ind w:left="114"/>
              <w:outlineLvl w:val="9"/>
              <w:rPr>
                <w:rFonts w:hint="eastAsia" w:ascii="宋体" w:hAnsi="宋体" w:eastAsia="宋体" w:cs="宋体"/>
                <w:sz w:val="24"/>
                <w:szCs w:val="24"/>
                <w:highlight w:val="none"/>
                <w:lang w:eastAsia="zh-CN"/>
              </w:rPr>
            </w:pPr>
            <w:r>
              <w:rPr>
                <w:rFonts w:hint="eastAsia" w:cs="宋体"/>
                <w:sz w:val="24"/>
                <w:szCs w:val="24"/>
                <w:highlight w:val="none"/>
                <w:lang w:eastAsia="zh-CN"/>
              </w:rPr>
              <w:t>智能新能源汽车</w:t>
            </w:r>
          </w:p>
        </w:tc>
        <w:tc>
          <w:tcPr>
            <w:tcW w:w="3083" w:type="dxa"/>
            <w:shd w:val="clear" w:color="auto" w:fill="auto"/>
            <w:vAlign w:val="center"/>
          </w:tcPr>
          <w:p w14:paraId="38B7E33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通过课程学习，使学生了解智能汽车在汽车行业、产业发展历程和专业背景、课程体系及就业岗位，树立专业思想，激发学习兴趣；了解智能电动汽车技术在行业发展中的重要性，明确职业规划，了解纯电动汽车过程中，同时培养学生善于自我学习、沟通表达、团队协作等职业素养，主动探索新知识、新技术的应用，培养学生创新思维能力。</w:t>
            </w:r>
          </w:p>
        </w:tc>
        <w:tc>
          <w:tcPr>
            <w:tcW w:w="4217" w:type="dxa"/>
            <w:shd w:val="clear" w:color="auto" w:fill="auto"/>
            <w:vAlign w:val="center"/>
          </w:tcPr>
          <w:p w14:paraId="4A09FBCD">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jc w:val="left"/>
              <w:textAlignment w:val="baseline"/>
              <w:outlineLvl w:val="9"/>
              <w:rPr>
                <w:rFonts w:hint="eastAsia" w:ascii="宋体" w:hAnsi="宋体" w:eastAsia="宋体" w:cs="宋体"/>
                <w:spacing w:val="-7"/>
                <w:sz w:val="24"/>
                <w:szCs w:val="24"/>
                <w:lang w:val="en-US" w:eastAsia="zh-CN"/>
              </w:rPr>
            </w:pPr>
            <w:r>
              <w:rPr>
                <w:rFonts w:hint="eastAsia" w:ascii="宋体" w:hAnsi="宋体" w:eastAsia="宋体" w:cs="宋体"/>
                <w:spacing w:val="-7"/>
                <w:sz w:val="24"/>
                <w:szCs w:val="24"/>
                <w:lang w:val="en-US" w:eastAsia="zh-CN"/>
              </w:rPr>
              <w:t>了解智能汽车的分类、发展方向，掌握纯汽车驱动系统的组成及布置形式，掌握电动汽车电动机维修，掌握纯电动汽车驱动系统检修，掌握纯电动汽车动力蓄电池系统检修。</w:t>
            </w:r>
          </w:p>
        </w:tc>
        <w:tc>
          <w:tcPr>
            <w:tcW w:w="900" w:type="dxa"/>
            <w:vAlign w:val="center"/>
          </w:tcPr>
          <w:p w14:paraId="5EC0DA65">
            <w:pPr>
              <w:pStyle w:val="15"/>
              <w:keepNext w:val="0"/>
              <w:keepLines w:val="0"/>
              <w:pageBreakBefore w:val="0"/>
              <w:wordWrap/>
              <w:topLinePunct w:val="0"/>
              <w:bidi w:val="0"/>
              <w:spacing w:before="78" w:line="360" w:lineRule="auto"/>
              <w:jc w:val="center"/>
              <w:outlineLvl w:val="9"/>
              <w:rPr>
                <w:rFonts w:hint="default" w:cs="宋体"/>
                <w:spacing w:val="-10"/>
                <w:sz w:val="24"/>
                <w:szCs w:val="24"/>
                <w:highlight w:val="none"/>
                <w:lang w:val="en-US" w:eastAsia="zh-CN"/>
              </w:rPr>
            </w:pPr>
            <w:r>
              <w:rPr>
                <w:rFonts w:hint="eastAsia" w:cs="宋体"/>
                <w:spacing w:val="-10"/>
                <w:sz w:val="24"/>
                <w:szCs w:val="24"/>
                <w:highlight w:val="none"/>
                <w:lang w:val="en-US" w:eastAsia="zh-CN"/>
              </w:rPr>
              <w:t>108</w:t>
            </w:r>
          </w:p>
        </w:tc>
      </w:tr>
    </w:tbl>
    <w:p w14:paraId="3407B842">
      <w:pPr>
        <w:keepNext w:val="0"/>
        <w:keepLines w:val="0"/>
        <w:pageBreakBefore w:val="0"/>
        <w:wordWrap/>
        <w:topLinePunct w:val="0"/>
        <w:bidi w:val="0"/>
        <w:spacing w:line="290" w:lineRule="auto"/>
        <w:outlineLvl w:val="9"/>
        <w:rPr>
          <w:rFonts w:hint="default" w:ascii="Arial" w:eastAsia="宋体"/>
          <w:sz w:val="21"/>
          <w:lang w:val="en-US" w:eastAsia="zh-CN"/>
        </w:rPr>
      </w:pPr>
    </w:p>
    <w:p w14:paraId="603C16AD">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highlight w:val="none"/>
        </w:rPr>
      </w:pPr>
      <w:bookmarkStart w:id="44" w:name="bookmark15"/>
      <w:bookmarkEnd w:id="44"/>
      <w:bookmarkStart w:id="45" w:name="_Toc30198"/>
      <w:r>
        <w:rPr>
          <w:rFonts w:hint="eastAsia" w:ascii="楷体" w:hAnsi="楷体" w:eastAsia="楷体" w:cs="楷体"/>
          <w:b/>
          <w:bCs/>
          <w:color w:val="000000"/>
          <w:sz w:val="24"/>
          <w:szCs w:val="24"/>
          <w:highlight w:val="none"/>
        </w:rPr>
        <w:t>课时比例</w:t>
      </w:r>
      <w:bookmarkEnd w:id="45"/>
    </w:p>
    <w:p w14:paraId="3CE17736">
      <w:pPr>
        <w:pStyle w:val="4"/>
        <w:keepNext w:val="0"/>
        <w:keepLines w:val="0"/>
        <w:pageBreakBefore w:val="0"/>
        <w:wordWrap/>
        <w:topLinePunct w:val="0"/>
        <w:bidi w:val="0"/>
        <w:spacing w:before="24" w:line="212" w:lineRule="auto"/>
        <w:ind w:left="3723"/>
        <w:outlineLvl w:val="9"/>
        <w:rPr>
          <w:spacing w:val="-4"/>
        </w:rPr>
      </w:pPr>
      <w:r>
        <w:rPr>
          <w:spacing w:val="-4"/>
        </w:rPr>
        <w:t>表</w:t>
      </w:r>
      <w:r>
        <w:rPr>
          <w:rFonts w:hint="eastAsia"/>
          <w:spacing w:val="-4"/>
          <w:lang w:val="en-US" w:eastAsia="zh-CN"/>
        </w:rPr>
        <w:t xml:space="preserve">7  </w:t>
      </w:r>
      <w:r>
        <w:rPr>
          <w:spacing w:val="-4"/>
        </w:rPr>
        <w:t>课时比例表</w:t>
      </w:r>
    </w:p>
    <w:tbl>
      <w:tblPr>
        <w:tblStyle w:val="11"/>
        <w:tblW w:w="9961" w:type="dxa"/>
        <w:tblInd w:w="-20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89"/>
        <w:gridCol w:w="1146"/>
        <w:gridCol w:w="1467"/>
        <w:gridCol w:w="1274"/>
        <w:gridCol w:w="1484"/>
        <w:gridCol w:w="887"/>
        <w:gridCol w:w="1588"/>
        <w:gridCol w:w="826"/>
      </w:tblGrid>
      <w:tr w14:paraId="2176E1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9" w:hRule="atLeast"/>
        </w:trPr>
        <w:tc>
          <w:tcPr>
            <w:tcW w:w="128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D7153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类别</w:t>
            </w:r>
          </w:p>
        </w:tc>
        <w:tc>
          <w:tcPr>
            <w:tcW w:w="1146" w:type="dxa"/>
            <w:tcBorders>
              <w:top w:val="single" w:color="000000" w:sz="8" w:space="0"/>
              <w:left w:val="nil"/>
              <w:bottom w:val="single" w:color="000000" w:sz="8" w:space="0"/>
              <w:right w:val="single" w:color="000000" w:sz="8" w:space="0"/>
            </w:tcBorders>
            <w:shd w:val="clear" w:color="auto" w:fill="auto"/>
            <w:vAlign w:val="center"/>
          </w:tcPr>
          <w:p w14:paraId="361B83D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467" w:type="dxa"/>
            <w:tcBorders>
              <w:top w:val="single" w:color="000000" w:sz="8" w:space="0"/>
              <w:left w:val="nil"/>
              <w:bottom w:val="single" w:color="000000" w:sz="8" w:space="0"/>
              <w:right w:val="single" w:color="000000" w:sz="8" w:space="0"/>
            </w:tcBorders>
            <w:shd w:val="clear" w:color="auto" w:fill="auto"/>
            <w:vAlign w:val="center"/>
          </w:tcPr>
          <w:p w14:paraId="3D16530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2758" w:type="dxa"/>
            <w:gridSpan w:val="2"/>
            <w:tcBorders>
              <w:top w:val="single" w:color="000000" w:sz="8" w:space="0"/>
              <w:left w:val="nil"/>
              <w:bottom w:val="single" w:color="000000" w:sz="8" w:space="0"/>
              <w:right w:val="single" w:color="000000" w:sz="8" w:space="0"/>
            </w:tcBorders>
            <w:shd w:val="clear" w:color="auto" w:fill="auto"/>
            <w:vAlign w:val="center"/>
          </w:tcPr>
          <w:p w14:paraId="24A9CF5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课程类别</w:t>
            </w:r>
          </w:p>
        </w:tc>
        <w:tc>
          <w:tcPr>
            <w:tcW w:w="887" w:type="dxa"/>
            <w:tcBorders>
              <w:top w:val="single" w:color="000000" w:sz="8" w:space="0"/>
              <w:left w:val="nil"/>
              <w:bottom w:val="single" w:color="000000" w:sz="8" w:space="0"/>
              <w:right w:val="single" w:color="000000" w:sz="8" w:space="0"/>
            </w:tcBorders>
            <w:shd w:val="clear" w:color="auto" w:fill="auto"/>
            <w:vAlign w:val="center"/>
          </w:tcPr>
          <w:p w14:paraId="03A2CC3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学时</w:t>
            </w:r>
          </w:p>
        </w:tc>
        <w:tc>
          <w:tcPr>
            <w:tcW w:w="1588" w:type="dxa"/>
            <w:tcBorders>
              <w:top w:val="single" w:color="000000" w:sz="8" w:space="0"/>
              <w:left w:val="nil"/>
              <w:bottom w:val="single" w:color="000000" w:sz="8" w:space="0"/>
              <w:right w:val="single" w:color="000000" w:sz="8" w:space="0"/>
            </w:tcBorders>
            <w:shd w:val="clear" w:color="auto" w:fill="auto"/>
            <w:vAlign w:val="center"/>
          </w:tcPr>
          <w:p w14:paraId="0728F29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占总学时（百分比）</w:t>
            </w:r>
          </w:p>
        </w:tc>
        <w:tc>
          <w:tcPr>
            <w:tcW w:w="826" w:type="dxa"/>
            <w:tcBorders>
              <w:top w:val="single" w:color="000000" w:sz="8" w:space="0"/>
              <w:left w:val="nil"/>
              <w:bottom w:val="single" w:color="000000" w:sz="8" w:space="0"/>
              <w:right w:val="single" w:color="000000" w:sz="8" w:space="0"/>
            </w:tcBorders>
            <w:shd w:val="clear" w:color="auto" w:fill="auto"/>
            <w:vAlign w:val="center"/>
          </w:tcPr>
          <w:p w14:paraId="1A23573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备注</w:t>
            </w:r>
          </w:p>
        </w:tc>
      </w:tr>
      <w:tr w14:paraId="5F33FC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2C6D36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理论学时</w:t>
            </w:r>
          </w:p>
        </w:tc>
        <w:tc>
          <w:tcPr>
            <w:tcW w:w="1146" w:type="dxa"/>
            <w:vMerge w:val="restart"/>
            <w:tcBorders>
              <w:top w:val="single" w:color="000000" w:sz="8" w:space="0"/>
              <w:left w:val="nil"/>
              <w:bottom w:val="single" w:color="000000" w:sz="8" w:space="0"/>
              <w:right w:val="single" w:color="000000" w:sz="8" w:space="0"/>
            </w:tcBorders>
            <w:shd w:val="clear" w:color="auto" w:fill="auto"/>
            <w:vAlign w:val="center"/>
          </w:tcPr>
          <w:p w14:paraId="19BA146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1530</w:t>
            </w:r>
          </w:p>
        </w:tc>
        <w:tc>
          <w:tcPr>
            <w:tcW w:w="1467" w:type="dxa"/>
            <w:vMerge w:val="restart"/>
            <w:tcBorders>
              <w:top w:val="single" w:color="000000" w:sz="8" w:space="0"/>
              <w:left w:val="nil"/>
              <w:bottom w:val="single" w:color="000000" w:sz="8" w:space="0"/>
              <w:right w:val="single" w:color="000000" w:sz="8" w:space="0"/>
            </w:tcBorders>
            <w:shd w:val="clear" w:color="auto" w:fill="auto"/>
            <w:vAlign w:val="center"/>
          </w:tcPr>
          <w:p w14:paraId="72B6389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46.36%</w:t>
            </w:r>
          </w:p>
        </w:tc>
        <w:tc>
          <w:tcPr>
            <w:tcW w:w="1274" w:type="dxa"/>
            <w:vMerge w:val="restart"/>
            <w:tcBorders>
              <w:top w:val="single" w:color="000000" w:sz="8" w:space="0"/>
              <w:left w:val="nil"/>
              <w:bottom w:val="single" w:color="000000" w:sz="8" w:space="0"/>
              <w:right w:val="single" w:color="000000" w:sz="8" w:space="0"/>
            </w:tcBorders>
            <w:shd w:val="clear" w:color="auto" w:fill="auto"/>
            <w:vAlign w:val="center"/>
          </w:tcPr>
          <w:p w14:paraId="3A22EF7E">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484" w:type="dxa"/>
            <w:tcBorders>
              <w:top w:val="single" w:color="000000" w:sz="8" w:space="0"/>
              <w:left w:val="nil"/>
              <w:bottom w:val="single" w:color="000000" w:sz="8" w:space="0"/>
              <w:right w:val="single" w:color="000000" w:sz="8" w:space="0"/>
            </w:tcBorders>
            <w:shd w:val="clear" w:color="auto" w:fill="auto"/>
            <w:vAlign w:val="center"/>
          </w:tcPr>
          <w:p w14:paraId="0FD56E0B">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887" w:type="dxa"/>
            <w:tcBorders>
              <w:top w:val="single" w:color="000000" w:sz="8" w:space="0"/>
              <w:left w:val="nil"/>
              <w:bottom w:val="single" w:color="000000" w:sz="8" w:space="0"/>
              <w:right w:val="single" w:color="000000" w:sz="8" w:space="0"/>
            </w:tcBorders>
            <w:shd w:val="clear" w:color="auto" w:fill="auto"/>
            <w:vAlign w:val="center"/>
          </w:tcPr>
          <w:p w14:paraId="0504C7D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936</w:t>
            </w:r>
          </w:p>
        </w:tc>
        <w:tc>
          <w:tcPr>
            <w:tcW w:w="1588" w:type="dxa"/>
            <w:tcBorders>
              <w:top w:val="nil"/>
              <w:left w:val="nil"/>
              <w:bottom w:val="single" w:color="000000" w:sz="8" w:space="0"/>
              <w:right w:val="single" w:color="000000" w:sz="8" w:space="0"/>
            </w:tcBorders>
            <w:shd w:val="clear" w:color="auto" w:fill="auto"/>
            <w:vAlign w:val="center"/>
          </w:tcPr>
          <w:p w14:paraId="4AA36DC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28.36%</w:t>
            </w:r>
          </w:p>
        </w:tc>
        <w:tc>
          <w:tcPr>
            <w:tcW w:w="826" w:type="dxa"/>
            <w:tcBorders>
              <w:top w:val="single" w:color="000000" w:sz="8" w:space="0"/>
              <w:left w:val="nil"/>
              <w:bottom w:val="single" w:color="000000" w:sz="8" w:space="0"/>
              <w:right w:val="single" w:color="000000" w:sz="8" w:space="0"/>
            </w:tcBorders>
            <w:shd w:val="clear" w:color="auto" w:fill="auto"/>
            <w:vAlign w:val="center"/>
          </w:tcPr>
          <w:p w14:paraId="0CBF29F4">
            <w:pPr>
              <w:jc w:val="both"/>
              <w:rPr>
                <w:rFonts w:hint="eastAsia" w:ascii="宋体" w:hAnsi="宋体" w:eastAsia="宋体" w:cs="宋体"/>
                <w:i w:val="0"/>
                <w:iCs w:val="0"/>
                <w:color w:val="auto"/>
                <w:sz w:val="24"/>
                <w:szCs w:val="24"/>
                <w:u w:val="none"/>
              </w:rPr>
            </w:pPr>
          </w:p>
        </w:tc>
      </w:tr>
      <w:tr w14:paraId="4604AF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5DCEEF2E">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369E2964">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65B937EF">
            <w:pPr>
              <w:jc w:val="center"/>
              <w:rPr>
                <w:rFonts w:hint="default" w:ascii="宋体" w:hAnsi="宋体" w:eastAsia="宋体" w:cs="宋体"/>
                <w:i w:val="0"/>
                <w:iCs w:val="0"/>
                <w:color w:val="auto"/>
                <w:sz w:val="24"/>
                <w:szCs w:val="24"/>
                <w:u w:val="none"/>
                <w:lang w:val="en-US" w:eastAsia="zh-CN"/>
              </w:rPr>
            </w:pPr>
          </w:p>
        </w:tc>
        <w:tc>
          <w:tcPr>
            <w:tcW w:w="1274" w:type="dxa"/>
            <w:vMerge w:val="continue"/>
            <w:tcBorders>
              <w:top w:val="nil"/>
              <w:left w:val="nil"/>
              <w:bottom w:val="single" w:color="000000" w:sz="8" w:space="0"/>
              <w:right w:val="single" w:color="000000" w:sz="8" w:space="0"/>
            </w:tcBorders>
            <w:shd w:val="clear" w:color="auto" w:fill="auto"/>
            <w:vAlign w:val="center"/>
          </w:tcPr>
          <w:p w14:paraId="2336DA39">
            <w:pPr>
              <w:jc w:val="center"/>
              <w:rPr>
                <w:rFonts w:hint="eastAsia" w:ascii="宋体" w:hAnsi="宋体" w:eastAsia="宋体" w:cs="宋体"/>
                <w:i w:val="0"/>
                <w:iCs w:val="0"/>
                <w:color w:val="auto"/>
                <w:sz w:val="24"/>
                <w:szCs w:val="24"/>
                <w:u w:val="none"/>
              </w:rPr>
            </w:pPr>
          </w:p>
        </w:tc>
        <w:tc>
          <w:tcPr>
            <w:tcW w:w="1484" w:type="dxa"/>
            <w:tcBorders>
              <w:top w:val="nil"/>
              <w:left w:val="nil"/>
              <w:bottom w:val="single" w:color="000000" w:sz="8" w:space="0"/>
              <w:right w:val="single" w:color="000000" w:sz="8" w:space="0"/>
            </w:tcBorders>
            <w:shd w:val="clear" w:color="auto" w:fill="auto"/>
            <w:vAlign w:val="center"/>
          </w:tcPr>
          <w:p w14:paraId="17625A1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887" w:type="dxa"/>
            <w:tcBorders>
              <w:top w:val="nil"/>
              <w:left w:val="nil"/>
              <w:bottom w:val="single" w:color="000000" w:sz="8" w:space="0"/>
              <w:right w:val="single" w:color="000000" w:sz="8" w:space="0"/>
            </w:tcBorders>
            <w:shd w:val="clear" w:color="auto" w:fill="auto"/>
            <w:vAlign w:val="center"/>
          </w:tcPr>
          <w:p w14:paraId="468CCE55">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36</w:t>
            </w:r>
          </w:p>
        </w:tc>
        <w:tc>
          <w:tcPr>
            <w:tcW w:w="1588" w:type="dxa"/>
            <w:tcBorders>
              <w:top w:val="nil"/>
              <w:left w:val="nil"/>
              <w:bottom w:val="single" w:color="000000" w:sz="8" w:space="0"/>
              <w:right w:val="single" w:color="000000" w:sz="8" w:space="0"/>
            </w:tcBorders>
            <w:shd w:val="clear" w:color="auto" w:fill="auto"/>
            <w:vAlign w:val="center"/>
          </w:tcPr>
          <w:p w14:paraId="3F9F5D4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1.09%</w:t>
            </w:r>
          </w:p>
        </w:tc>
        <w:tc>
          <w:tcPr>
            <w:tcW w:w="826" w:type="dxa"/>
            <w:tcBorders>
              <w:top w:val="single" w:color="000000" w:sz="8" w:space="0"/>
              <w:left w:val="nil"/>
              <w:bottom w:val="single" w:color="000000" w:sz="8" w:space="0"/>
              <w:right w:val="single" w:color="000000" w:sz="8" w:space="0"/>
            </w:tcBorders>
            <w:shd w:val="clear" w:color="auto" w:fill="auto"/>
            <w:vAlign w:val="center"/>
          </w:tcPr>
          <w:p w14:paraId="18CB410A">
            <w:pPr>
              <w:jc w:val="both"/>
              <w:rPr>
                <w:rFonts w:hint="eastAsia" w:ascii="宋体" w:hAnsi="宋体" w:eastAsia="宋体" w:cs="宋体"/>
                <w:i w:val="0"/>
                <w:iCs w:val="0"/>
                <w:color w:val="auto"/>
                <w:sz w:val="24"/>
                <w:szCs w:val="24"/>
                <w:u w:val="none"/>
              </w:rPr>
            </w:pPr>
          </w:p>
        </w:tc>
      </w:tr>
      <w:tr w14:paraId="48D20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3F231FB0">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1C5084C5">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0DD75833">
            <w:pPr>
              <w:jc w:val="center"/>
              <w:rPr>
                <w:rFonts w:hint="eastAsia" w:ascii="宋体" w:hAnsi="宋体" w:eastAsia="宋体" w:cs="宋体"/>
                <w:i w:val="0"/>
                <w:iCs w:val="0"/>
                <w:color w:val="auto"/>
                <w:sz w:val="24"/>
                <w:szCs w:val="24"/>
                <w:u w:val="none"/>
              </w:rPr>
            </w:pPr>
          </w:p>
        </w:tc>
        <w:tc>
          <w:tcPr>
            <w:tcW w:w="1274" w:type="dxa"/>
            <w:vMerge w:val="restart"/>
            <w:tcBorders>
              <w:top w:val="nil"/>
              <w:left w:val="nil"/>
              <w:bottom w:val="single" w:color="000000" w:sz="8" w:space="0"/>
              <w:right w:val="single" w:color="000000" w:sz="8" w:space="0"/>
            </w:tcBorders>
            <w:shd w:val="clear" w:color="auto" w:fill="auto"/>
            <w:vAlign w:val="center"/>
          </w:tcPr>
          <w:p w14:paraId="43B7B26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484" w:type="dxa"/>
            <w:tcBorders>
              <w:top w:val="nil"/>
              <w:left w:val="nil"/>
              <w:bottom w:val="single" w:color="000000" w:sz="8" w:space="0"/>
              <w:right w:val="single" w:color="000000" w:sz="8" w:space="0"/>
            </w:tcBorders>
            <w:shd w:val="clear" w:color="auto" w:fill="auto"/>
            <w:vAlign w:val="center"/>
          </w:tcPr>
          <w:p w14:paraId="3892FFC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887" w:type="dxa"/>
            <w:tcBorders>
              <w:top w:val="nil"/>
              <w:left w:val="nil"/>
              <w:bottom w:val="single" w:color="000000" w:sz="8" w:space="0"/>
              <w:right w:val="single" w:color="000000" w:sz="8" w:space="0"/>
            </w:tcBorders>
            <w:shd w:val="clear" w:color="auto" w:fill="auto"/>
            <w:vAlign w:val="center"/>
          </w:tcPr>
          <w:p w14:paraId="1E5E698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162</w:t>
            </w:r>
          </w:p>
        </w:tc>
        <w:tc>
          <w:tcPr>
            <w:tcW w:w="1588" w:type="dxa"/>
            <w:tcBorders>
              <w:top w:val="nil"/>
              <w:left w:val="nil"/>
              <w:bottom w:val="single" w:color="000000" w:sz="8" w:space="0"/>
              <w:right w:val="single" w:color="000000" w:sz="8" w:space="0"/>
            </w:tcBorders>
            <w:shd w:val="clear" w:color="auto" w:fill="auto"/>
            <w:vAlign w:val="center"/>
          </w:tcPr>
          <w:p w14:paraId="4840056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4.91%</w:t>
            </w:r>
          </w:p>
        </w:tc>
        <w:tc>
          <w:tcPr>
            <w:tcW w:w="826" w:type="dxa"/>
            <w:tcBorders>
              <w:top w:val="nil"/>
              <w:left w:val="nil"/>
              <w:bottom w:val="single" w:color="000000" w:sz="8" w:space="0"/>
              <w:right w:val="single" w:color="000000" w:sz="8" w:space="0"/>
            </w:tcBorders>
            <w:shd w:val="clear" w:color="auto" w:fill="auto"/>
            <w:vAlign w:val="center"/>
          </w:tcPr>
          <w:p w14:paraId="6E716B69">
            <w:pPr>
              <w:jc w:val="both"/>
              <w:rPr>
                <w:rFonts w:hint="eastAsia" w:ascii="宋体" w:hAnsi="宋体" w:eastAsia="宋体" w:cs="宋体"/>
                <w:i w:val="0"/>
                <w:iCs w:val="0"/>
                <w:color w:val="auto"/>
                <w:sz w:val="24"/>
                <w:szCs w:val="24"/>
                <w:u w:val="none"/>
              </w:rPr>
            </w:pPr>
          </w:p>
        </w:tc>
      </w:tr>
      <w:tr w14:paraId="2268E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79C792CC">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6CFB4620">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71DC320C">
            <w:pPr>
              <w:jc w:val="center"/>
              <w:rPr>
                <w:rFonts w:hint="eastAsia" w:ascii="宋体" w:hAnsi="宋体" w:eastAsia="宋体" w:cs="宋体"/>
                <w:i w:val="0"/>
                <w:iCs w:val="0"/>
                <w:color w:val="auto"/>
                <w:sz w:val="24"/>
                <w:szCs w:val="24"/>
                <w:u w:val="none"/>
              </w:rPr>
            </w:pPr>
          </w:p>
        </w:tc>
        <w:tc>
          <w:tcPr>
            <w:tcW w:w="1274" w:type="dxa"/>
            <w:vMerge w:val="continue"/>
            <w:tcBorders>
              <w:top w:val="nil"/>
              <w:left w:val="nil"/>
              <w:bottom w:val="single" w:color="000000" w:sz="8" w:space="0"/>
              <w:right w:val="single" w:color="000000" w:sz="8" w:space="0"/>
            </w:tcBorders>
            <w:shd w:val="clear" w:color="auto" w:fill="auto"/>
            <w:vAlign w:val="center"/>
          </w:tcPr>
          <w:p w14:paraId="5AB127D8">
            <w:pPr>
              <w:jc w:val="center"/>
              <w:rPr>
                <w:rFonts w:hint="eastAsia" w:ascii="宋体" w:hAnsi="宋体" w:eastAsia="宋体" w:cs="宋体"/>
                <w:i w:val="0"/>
                <w:iCs w:val="0"/>
                <w:color w:val="auto"/>
                <w:sz w:val="24"/>
                <w:szCs w:val="24"/>
                <w:u w:val="none"/>
              </w:rPr>
            </w:pPr>
          </w:p>
        </w:tc>
        <w:tc>
          <w:tcPr>
            <w:tcW w:w="1484" w:type="dxa"/>
            <w:tcBorders>
              <w:top w:val="nil"/>
              <w:left w:val="nil"/>
              <w:bottom w:val="single" w:color="000000" w:sz="8" w:space="0"/>
              <w:right w:val="single" w:color="000000" w:sz="8" w:space="0"/>
            </w:tcBorders>
            <w:shd w:val="clear" w:color="auto" w:fill="auto"/>
            <w:vAlign w:val="center"/>
          </w:tcPr>
          <w:p w14:paraId="19E90155">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887" w:type="dxa"/>
            <w:tcBorders>
              <w:top w:val="nil"/>
              <w:left w:val="nil"/>
              <w:bottom w:val="single" w:color="000000" w:sz="8" w:space="0"/>
              <w:right w:val="single" w:color="000000" w:sz="8" w:space="0"/>
            </w:tcBorders>
            <w:shd w:val="clear" w:color="auto" w:fill="auto"/>
            <w:vAlign w:val="center"/>
          </w:tcPr>
          <w:p w14:paraId="09CB49F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324</w:t>
            </w:r>
          </w:p>
        </w:tc>
        <w:tc>
          <w:tcPr>
            <w:tcW w:w="1588" w:type="dxa"/>
            <w:tcBorders>
              <w:top w:val="nil"/>
              <w:left w:val="nil"/>
              <w:bottom w:val="single" w:color="000000" w:sz="8" w:space="0"/>
              <w:right w:val="single" w:color="000000" w:sz="8" w:space="0"/>
            </w:tcBorders>
            <w:shd w:val="clear" w:color="auto" w:fill="auto"/>
            <w:vAlign w:val="center"/>
          </w:tcPr>
          <w:p w14:paraId="04B82525">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9.82%</w:t>
            </w:r>
          </w:p>
        </w:tc>
        <w:tc>
          <w:tcPr>
            <w:tcW w:w="826" w:type="dxa"/>
            <w:tcBorders>
              <w:top w:val="nil"/>
              <w:left w:val="nil"/>
              <w:bottom w:val="single" w:color="000000" w:sz="8" w:space="0"/>
              <w:right w:val="single" w:color="000000" w:sz="8" w:space="0"/>
            </w:tcBorders>
            <w:shd w:val="clear" w:color="auto" w:fill="auto"/>
            <w:vAlign w:val="center"/>
          </w:tcPr>
          <w:p w14:paraId="735D17B7">
            <w:pPr>
              <w:jc w:val="both"/>
              <w:rPr>
                <w:rFonts w:hint="eastAsia" w:ascii="宋体" w:hAnsi="宋体" w:eastAsia="宋体" w:cs="宋体"/>
                <w:i w:val="0"/>
                <w:iCs w:val="0"/>
                <w:color w:val="auto"/>
                <w:sz w:val="24"/>
                <w:szCs w:val="24"/>
                <w:u w:val="none"/>
              </w:rPr>
            </w:pPr>
          </w:p>
        </w:tc>
      </w:tr>
      <w:tr w14:paraId="50F3B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11C86BB7">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3EF039F0">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7BBE6DC2">
            <w:pPr>
              <w:jc w:val="center"/>
              <w:rPr>
                <w:rFonts w:hint="eastAsia" w:ascii="宋体" w:hAnsi="宋体" w:eastAsia="宋体" w:cs="宋体"/>
                <w:i w:val="0"/>
                <w:iCs w:val="0"/>
                <w:color w:val="auto"/>
                <w:sz w:val="24"/>
                <w:szCs w:val="24"/>
                <w:u w:val="none"/>
              </w:rPr>
            </w:pPr>
          </w:p>
        </w:tc>
        <w:tc>
          <w:tcPr>
            <w:tcW w:w="1274" w:type="dxa"/>
            <w:vMerge w:val="continue"/>
            <w:tcBorders>
              <w:top w:val="nil"/>
              <w:left w:val="nil"/>
              <w:bottom w:val="single" w:color="000000" w:sz="8" w:space="0"/>
              <w:right w:val="single" w:color="000000" w:sz="8" w:space="0"/>
            </w:tcBorders>
            <w:shd w:val="clear" w:color="auto" w:fill="auto"/>
            <w:vAlign w:val="center"/>
          </w:tcPr>
          <w:p w14:paraId="715F81EA">
            <w:pPr>
              <w:jc w:val="center"/>
              <w:rPr>
                <w:rFonts w:hint="eastAsia" w:ascii="宋体" w:hAnsi="宋体" w:eastAsia="宋体" w:cs="宋体"/>
                <w:i w:val="0"/>
                <w:iCs w:val="0"/>
                <w:color w:val="auto"/>
                <w:sz w:val="24"/>
                <w:szCs w:val="24"/>
                <w:u w:val="none"/>
              </w:rPr>
            </w:pPr>
          </w:p>
        </w:tc>
        <w:tc>
          <w:tcPr>
            <w:tcW w:w="1484" w:type="dxa"/>
            <w:tcBorders>
              <w:top w:val="nil"/>
              <w:left w:val="nil"/>
              <w:bottom w:val="single" w:color="000000" w:sz="8" w:space="0"/>
              <w:right w:val="single" w:color="000000" w:sz="8" w:space="0"/>
            </w:tcBorders>
            <w:shd w:val="clear" w:color="auto" w:fill="auto"/>
            <w:vAlign w:val="center"/>
          </w:tcPr>
          <w:p w14:paraId="45026F2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887" w:type="dxa"/>
            <w:tcBorders>
              <w:top w:val="nil"/>
              <w:left w:val="nil"/>
              <w:bottom w:val="single" w:color="000000" w:sz="8" w:space="0"/>
              <w:right w:val="single" w:color="000000" w:sz="8" w:space="0"/>
            </w:tcBorders>
            <w:shd w:val="clear" w:color="auto" w:fill="auto"/>
            <w:vAlign w:val="center"/>
          </w:tcPr>
          <w:p w14:paraId="2FA680A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72</w:t>
            </w:r>
          </w:p>
        </w:tc>
        <w:tc>
          <w:tcPr>
            <w:tcW w:w="1588" w:type="dxa"/>
            <w:tcBorders>
              <w:top w:val="nil"/>
              <w:left w:val="nil"/>
              <w:bottom w:val="single" w:color="000000" w:sz="8" w:space="0"/>
              <w:right w:val="single" w:color="000000" w:sz="8" w:space="0"/>
            </w:tcBorders>
            <w:shd w:val="clear" w:color="auto" w:fill="auto"/>
            <w:vAlign w:val="center"/>
          </w:tcPr>
          <w:p w14:paraId="5531214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2.18%</w:t>
            </w:r>
          </w:p>
        </w:tc>
        <w:tc>
          <w:tcPr>
            <w:tcW w:w="826" w:type="dxa"/>
            <w:tcBorders>
              <w:top w:val="nil"/>
              <w:left w:val="nil"/>
              <w:bottom w:val="single" w:color="000000" w:sz="8" w:space="0"/>
              <w:right w:val="single" w:color="000000" w:sz="8" w:space="0"/>
            </w:tcBorders>
            <w:shd w:val="clear" w:color="auto" w:fill="auto"/>
            <w:vAlign w:val="center"/>
          </w:tcPr>
          <w:p w14:paraId="54462213">
            <w:pPr>
              <w:jc w:val="both"/>
              <w:rPr>
                <w:rFonts w:hint="eastAsia" w:ascii="宋体" w:hAnsi="宋体" w:eastAsia="宋体" w:cs="宋体"/>
                <w:i w:val="0"/>
                <w:iCs w:val="0"/>
                <w:color w:val="auto"/>
                <w:sz w:val="24"/>
                <w:szCs w:val="24"/>
                <w:u w:val="none"/>
              </w:rPr>
            </w:pPr>
          </w:p>
        </w:tc>
      </w:tr>
      <w:tr w14:paraId="48471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472DBE52">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0C7C765A">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6E2635F8">
            <w:pPr>
              <w:jc w:val="center"/>
              <w:rPr>
                <w:rFonts w:hint="eastAsia" w:ascii="宋体" w:hAnsi="宋体" w:eastAsia="宋体" w:cs="宋体"/>
                <w:i w:val="0"/>
                <w:iCs w:val="0"/>
                <w:color w:val="auto"/>
                <w:sz w:val="24"/>
                <w:szCs w:val="24"/>
                <w:u w:val="none"/>
              </w:rPr>
            </w:pPr>
          </w:p>
        </w:tc>
        <w:tc>
          <w:tcPr>
            <w:tcW w:w="2758" w:type="dxa"/>
            <w:gridSpan w:val="2"/>
            <w:tcBorders>
              <w:top w:val="nil"/>
              <w:left w:val="nil"/>
              <w:bottom w:val="single" w:color="000000" w:sz="8" w:space="0"/>
              <w:right w:val="single" w:color="000000" w:sz="8" w:space="0"/>
            </w:tcBorders>
            <w:shd w:val="clear" w:color="auto" w:fill="auto"/>
            <w:vAlign w:val="center"/>
          </w:tcPr>
          <w:p w14:paraId="55DEB780">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887" w:type="dxa"/>
            <w:tcBorders>
              <w:top w:val="nil"/>
              <w:left w:val="nil"/>
              <w:bottom w:val="single" w:color="000000" w:sz="8" w:space="0"/>
              <w:right w:val="single" w:color="000000" w:sz="8" w:space="0"/>
            </w:tcBorders>
            <w:shd w:val="clear" w:color="auto" w:fill="auto"/>
            <w:vAlign w:val="center"/>
          </w:tcPr>
          <w:p w14:paraId="6EAA2195">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1530</w:t>
            </w:r>
          </w:p>
        </w:tc>
        <w:tc>
          <w:tcPr>
            <w:tcW w:w="1588" w:type="dxa"/>
            <w:tcBorders>
              <w:top w:val="nil"/>
              <w:left w:val="nil"/>
              <w:bottom w:val="single" w:color="000000" w:sz="8" w:space="0"/>
              <w:right w:val="single" w:color="000000" w:sz="8" w:space="0"/>
            </w:tcBorders>
            <w:shd w:val="clear" w:color="auto" w:fill="auto"/>
            <w:vAlign w:val="center"/>
          </w:tcPr>
          <w:p w14:paraId="7D8A1FD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46.36%</w:t>
            </w:r>
          </w:p>
        </w:tc>
        <w:tc>
          <w:tcPr>
            <w:tcW w:w="826" w:type="dxa"/>
            <w:tcBorders>
              <w:top w:val="nil"/>
              <w:left w:val="nil"/>
              <w:bottom w:val="single" w:color="000000" w:sz="8" w:space="0"/>
              <w:right w:val="single" w:color="000000" w:sz="8" w:space="0"/>
            </w:tcBorders>
            <w:shd w:val="clear" w:color="auto" w:fill="auto"/>
            <w:vAlign w:val="center"/>
          </w:tcPr>
          <w:p w14:paraId="66FC2667">
            <w:pPr>
              <w:jc w:val="both"/>
              <w:rPr>
                <w:rFonts w:hint="eastAsia" w:ascii="宋体" w:hAnsi="宋体" w:eastAsia="宋体" w:cs="宋体"/>
                <w:i w:val="0"/>
                <w:iCs w:val="0"/>
                <w:color w:val="auto"/>
                <w:sz w:val="24"/>
                <w:szCs w:val="24"/>
                <w:u w:val="none"/>
              </w:rPr>
            </w:pPr>
          </w:p>
        </w:tc>
      </w:tr>
      <w:tr w14:paraId="25582A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restart"/>
            <w:tcBorders>
              <w:top w:val="nil"/>
              <w:left w:val="single" w:color="000000" w:sz="8" w:space="0"/>
              <w:bottom w:val="single" w:color="000000" w:sz="8" w:space="0"/>
              <w:right w:val="single" w:color="000000" w:sz="8" w:space="0"/>
            </w:tcBorders>
            <w:shd w:val="clear" w:color="auto" w:fill="auto"/>
            <w:vAlign w:val="center"/>
          </w:tcPr>
          <w:p w14:paraId="50AF0E4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实习实训学时</w:t>
            </w:r>
          </w:p>
        </w:tc>
        <w:tc>
          <w:tcPr>
            <w:tcW w:w="1146" w:type="dxa"/>
            <w:vMerge w:val="restart"/>
            <w:tcBorders>
              <w:top w:val="nil"/>
              <w:left w:val="nil"/>
              <w:bottom w:val="single" w:color="000000" w:sz="8" w:space="0"/>
              <w:right w:val="single" w:color="000000" w:sz="8" w:space="0"/>
            </w:tcBorders>
            <w:shd w:val="clear" w:color="auto" w:fill="auto"/>
            <w:vAlign w:val="center"/>
          </w:tcPr>
          <w:p w14:paraId="0EB1504B">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1770</w:t>
            </w:r>
          </w:p>
        </w:tc>
        <w:tc>
          <w:tcPr>
            <w:tcW w:w="1467" w:type="dxa"/>
            <w:vMerge w:val="restart"/>
            <w:tcBorders>
              <w:top w:val="nil"/>
              <w:left w:val="nil"/>
              <w:bottom w:val="single" w:color="000000" w:sz="8" w:space="0"/>
              <w:right w:val="single" w:color="000000" w:sz="8" w:space="0"/>
            </w:tcBorders>
            <w:shd w:val="clear" w:color="auto" w:fill="auto"/>
            <w:vAlign w:val="center"/>
          </w:tcPr>
          <w:p w14:paraId="61530081">
            <w:pPr>
              <w:keepNext w:val="0"/>
              <w:keepLines w:val="0"/>
              <w:widowControl/>
              <w:suppressLineNumbers w:val="0"/>
              <w:jc w:val="center"/>
              <w:textAlignment w:val="center"/>
              <w:rPr>
                <w:rFonts w:hint="default" w:ascii="宋体" w:hAnsi="宋体" w:eastAsia="宋体" w:cs="宋体"/>
                <w:i w:val="0"/>
                <w:iCs w:val="0"/>
                <w:color w:val="auto"/>
                <w:sz w:val="24"/>
                <w:szCs w:val="24"/>
                <w:u w:val="none"/>
                <w:lang w:val="en-US" w:eastAsia="zh-CN"/>
              </w:rPr>
            </w:pPr>
            <w:r>
              <w:rPr>
                <w:rFonts w:hint="eastAsia" w:ascii="宋体" w:hAnsi="宋体" w:eastAsia="宋体" w:cs="宋体"/>
                <w:i w:val="0"/>
                <w:iCs w:val="0"/>
                <w:snapToGrid w:val="0"/>
                <w:color w:val="000000"/>
                <w:kern w:val="0"/>
                <w:sz w:val="24"/>
                <w:szCs w:val="24"/>
                <w:u w:val="none"/>
                <w:lang w:val="en-US" w:eastAsia="zh-CN" w:bidi="ar"/>
              </w:rPr>
              <w:t>53.64%</w:t>
            </w:r>
          </w:p>
        </w:tc>
        <w:tc>
          <w:tcPr>
            <w:tcW w:w="1274" w:type="dxa"/>
            <w:vMerge w:val="restart"/>
            <w:tcBorders>
              <w:top w:val="nil"/>
              <w:left w:val="nil"/>
              <w:bottom w:val="single" w:color="000000" w:sz="8" w:space="0"/>
              <w:right w:val="single" w:color="000000" w:sz="8" w:space="0"/>
            </w:tcBorders>
            <w:shd w:val="clear" w:color="auto" w:fill="auto"/>
            <w:vAlign w:val="center"/>
          </w:tcPr>
          <w:p w14:paraId="366614EA">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公共课</w:t>
            </w:r>
          </w:p>
        </w:tc>
        <w:tc>
          <w:tcPr>
            <w:tcW w:w="1484" w:type="dxa"/>
            <w:tcBorders>
              <w:top w:val="nil"/>
              <w:left w:val="nil"/>
              <w:bottom w:val="single" w:color="000000" w:sz="8" w:space="0"/>
              <w:right w:val="single" w:color="000000" w:sz="8" w:space="0"/>
            </w:tcBorders>
            <w:shd w:val="clear" w:color="auto" w:fill="auto"/>
            <w:vAlign w:val="center"/>
          </w:tcPr>
          <w:p w14:paraId="6049115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公共基础课</w:t>
            </w:r>
          </w:p>
        </w:tc>
        <w:tc>
          <w:tcPr>
            <w:tcW w:w="887" w:type="dxa"/>
            <w:tcBorders>
              <w:top w:val="nil"/>
              <w:left w:val="nil"/>
              <w:bottom w:val="single" w:color="000000" w:sz="8" w:space="0"/>
              <w:right w:val="single" w:color="000000" w:sz="8" w:space="0"/>
            </w:tcBorders>
            <w:shd w:val="clear" w:color="auto" w:fill="auto"/>
            <w:vAlign w:val="center"/>
          </w:tcPr>
          <w:p w14:paraId="60C2DA2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270</w:t>
            </w:r>
          </w:p>
        </w:tc>
        <w:tc>
          <w:tcPr>
            <w:tcW w:w="1588" w:type="dxa"/>
            <w:tcBorders>
              <w:top w:val="nil"/>
              <w:left w:val="nil"/>
              <w:bottom w:val="single" w:color="000000" w:sz="8" w:space="0"/>
              <w:right w:val="single" w:color="000000" w:sz="8" w:space="0"/>
            </w:tcBorders>
            <w:shd w:val="clear" w:color="auto" w:fill="auto"/>
            <w:vAlign w:val="center"/>
          </w:tcPr>
          <w:p w14:paraId="56BC5B11">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8.18%</w:t>
            </w:r>
          </w:p>
        </w:tc>
        <w:tc>
          <w:tcPr>
            <w:tcW w:w="826" w:type="dxa"/>
            <w:tcBorders>
              <w:top w:val="single" w:color="000000" w:sz="8" w:space="0"/>
              <w:left w:val="nil"/>
              <w:bottom w:val="single" w:color="000000" w:sz="8" w:space="0"/>
              <w:right w:val="single" w:color="000000" w:sz="8" w:space="0"/>
            </w:tcBorders>
            <w:shd w:val="clear" w:color="auto" w:fill="auto"/>
            <w:vAlign w:val="center"/>
          </w:tcPr>
          <w:p w14:paraId="665A1249">
            <w:pPr>
              <w:jc w:val="center"/>
              <w:rPr>
                <w:rFonts w:hint="eastAsia" w:ascii="宋体" w:hAnsi="宋体" w:eastAsia="宋体" w:cs="宋体"/>
                <w:i w:val="0"/>
                <w:iCs w:val="0"/>
                <w:color w:val="auto"/>
                <w:sz w:val="24"/>
                <w:szCs w:val="24"/>
                <w:u w:val="none"/>
              </w:rPr>
            </w:pPr>
          </w:p>
        </w:tc>
      </w:tr>
      <w:tr w14:paraId="3CC5FC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447F77FF">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1CCE9839">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61FC96A1">
            <w:pPr>
              <w:jc w:val="center"/>
              <w:rPr>
                <w:rFonts w:hint="eastAsia" w:ascii="宋体" w:hAnsi="宋体" w:eastAsia="宋体" w:cs="宋体"/>
                <w:i w:val="0"/>
                <w:iCs w:val="0"/>
                <w:color w:val="auto"/>
                <w:sz w:val="24"/>
                <w:szCs w:val="24"/>
                <w:u w:val="none"/>
              </w:rPr>
            </w:pPr>
          </w:p>
        </w:tc>
        <w:tc>
          <w:tcPr>
            <w:tcW w:w="1274" w:type="dxa"/>
            <w:vMerge w:val="continue"/>
            <w:tcBorders>
              <w:top w:val="nil"/>
              <w:left w:val="nil"/>
              <w:bottom w:val="single" w:color="000000" w:sz="8" w:space="0"/>
              <w:right w:val="single" w:color="000000" w:sz="8" w:space="0"/>
            </w:tcBorders>
            <w:shd w:val="clear" w:color="auto" w:fill="auto"/>
            <w:vAlign w:val="center"/>
          </w:tcPr>
          <w:p w14:paraId="69DF8439">
            <w:pPr>
              <w:jc w:val="center"/>
              <w:rPr>
                <w:rFonts w:hint="eastAsia" w:ascii="宋体" w:hAnsi="宋体" w:eastAsia="宋体" w:cs="宋体"/>
                <w:i w:val="0"/>
                <w:iCs w:val="0"/>
                <w:color w:val="auto"/>
                <w:sz w:val="24"/>
                <w:szCs w:val="24"/>
                <w:u w:val="none"/>
              </w:rPr>
            </w:pPr>
          </w:p>
        </w:tc>
        <w:tc>
          <w:tcPr>
            <w:tcW w:w="1484" w:type="dxa"/>
            <w:tcBorders>
              <w:top w:val="nil"/>
              <w:left w:val="nil"/>
              <w:bottom w:val="single" w:color="000000" w:sz="8" w:space="0"/>
              <w:right w:val="single" w:color="000000" w:sz="8" w:space="0"/>
            </w:tcBorders>
            <w:shd w:val="clear" w:color="auto" w:fill="auto"/>
            <w:vAlign w:val="center"/>
          </w:tcPr>
          <w:p w14:paraId="0E2D583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公共选修课</w:t>
            </w:r>
          </w:p>
        </w:tc>
        <w:tc>
          <w:tcPr>
            <w:tcW w:w="887" w:type="dxa"/>
            <w:tcBorders>
              <w:top w:val="nil"/>
              <w:left w:val="nil"/>
              <w:bottom w:val="single" w:color="000000" w:sz="8" w:space="0"/>
              <w:right w:val="single" w:color="000000" w:sz="8" w:space="0"/>
            </w:tcBorders>
            <w:shd w:val="clear" w:color="auto" w:fill="auto"/>
            <w:vAlign w:val="center"/>
          </w:tcPr>
          <w:p w14:paraId="365F746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0</w:t>
            </w:r>
          </w:p>
        </w:tc>
        <w:tc>
          <w:tcPr>
            <w:tcW w:w="1588" w:type="dxa"/>
            <w:tcBorders>
              <w:top w:val="nil"/>
              <w:left w:val="nil"/>
              <w:bottom w:val="single" w:color="000000" w:sz="8" w:space="0"/>
              <w:right w:val="single" w:color="000000" w:sz="8" w:space="0"/>
            </w:tcBorders>
            <w:shd w:val="clear" w:color="auto" w:fill="auto"/>
            <w:vAlign w:val="center"/>
          </w:tcPr>
          <w:p w14:paraId="1DD97D3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0.00%</w:t>
            </w:r>
          </w:p>
        </w:tc>
        <w:tc>
          <w:tcPr>
            <w:tcW w:w="826" w:type="dxa"/>
            <w:tcBorders>
              <w:top w:val="nil"/>
              <w:left w:val="nil"/>
              <w:bottom w:val="single" w:color="000000" w:sz="8" w:space="0"/>
              <w:right w:val="single" w:color="000000" w:sz="8" w:space="0"/>
            </w:tcBorders>
            <w:shd w:val="clear" w:color="auto" w:fill="auto"/>
            <w:vAlign w:val="center"/>
          </w:tcPr>
          <w:p w14:paraId="65D59A1F">
            <w:pPr>
              <w:jc w:val="center"/>
              <w:rPr>
                <w:rFonts w:hint="eastAsia" w:ascii="宋体" w:hAnsi="宋体" w:eastAsia="宋体" w:cs="宋体"/>
                <w:i w:val="0"/>
                <w:iCs w:val="0"/>
                <w:color w:val="auto"/>
                <w:sz w:val="24"/>
                <w:szCs w:val="24"/>
                <w:u w:val="none"/>
              </w:rPr>
            </w:pPr>
          </w:p>
        </w:tc>
      </w:tr>
      <w:tr w14:paraId="3F182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6E2B98CB">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06EE3C1E">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453D3F22">
            <w:pPr>
              <w:jc w:val="center"/>
              <w:rPr>
                <w:rFonts w:hint="eastAsia" w:ascii="宋体" w:hAnsi="宋体" w:eastAsia="宋体" w:cs="宋体"/>
                <w:i w:val="0"/>
                <w:iCs w:val="0"/>
                <w:color w:val="auto"/>
                <w:sz w:val="24"/>
                <w:szCs w:val="24"/>
                <w:u w:val="none"/>
              </w:rPr>
            </w:pPr>
          </w:p>
        </w:tc>
        <w:tc>
          <w:tcPr>
            <w:tcW w:w="1274" w:type="dxa"/>
            <w:vMerge w:val="restart"/>
            <w:tcBorders>
              <w:top w:val="nil"/>
              <w:left w:val="nil"/>
              <w:bottom w:val="single" w:color="000000" w:sz="8" w:space="0"/>
              <w:right w:val="single" w:color="000000" w:sz="8" w:space="0"/>
            </w:tcBorders>
            <w:shd w:val="clear" w:color="auto" w:fill="auto"/>
            <w:vAlign w:val="center"/>
          </w:tcPr>
          <w:p w14:paraId="5FA0B649">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专业课</w:t>
            </w:r>
          </w:p>
        </w:tc>
        <w:tc>
          <w:tcPr>
            <w:tcW w:w="1484" w:type="dxa"/>
            <w:tcBorders>
              <w:top w:val="nil"/>
              <w:left w:val="nil"/>
              <w:bottom w:val="single" w:color="000000" w:sz="8" w:space="0"/>
              <w:right w:val="single" w:color="000000" w:sz="8" w:space="0"/>
            </w:tcBorders>
            <w:shd w:val="clear" w:color="auto" w:fill="auto"/>
            <w:vAlign w:val="center"/>
          </w:tcPr>
          <w:p w14:paraId="77CC94EC">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专业基础课</w:t>
            </w:r>
          </w:p>
        </w:tc>
        <w:tc>
          <w:tcPr>
            <w:tcW w:w="887" w:type="dxa"/>
            <w:tcBorders>
              <w:top w:val="nil"/>
              <w:left w:val="nil"/>
              <w:bottom w:val="single" w:color="000000" w:sz="8" w:space="0"/>
              <w:right w:val="single" w:color="000000" w:sz="8" w:space="0"/>
            </w:tcBorders>
            <w:shd w:val="clear" w:color="auto" w:fill="auto"/>
            <w:vAlign w:val="center"/>
          </w:tcPr>
          <w:p w14:paraId="25485CC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180</w:t>
            </w:r>
          </w:p>
        </w:tc>
        <w:tc>
          <w:tcPr>
            <w:tcW w:w="1588" w:type="dxa"/>
            <w:tcBorders>
              <w:top w:val="nil"/>
              <w:left w:val="nil"/>
              <w:bottom w:val="single" w:color="000000" w:sz="8" w:space="0"/>
              <w:right w:val="single" w:color="000000" w:sz="8" w:space="0"/>
            </w:tcBorders>
            <w:shd w:val="clear" w:color="auto" w:fill="auto"/>
            <w:vAlign w:val="center"/>
          </w:tcPr>
          <w:p w14:paraId="1296DBE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5.45%</w:t>
            </w:r>
          </w:p>
        </w:tc>
        <w:tc>
          <w:tcPr>
            <w:tcW w:w="826" w:type="dxa"/>
            <w:tcBorders>
              <w:top w:val="nil"/>
              <w:left w:val="nil"/>
              <w:bottom w:val="single" w:color="000000" w:sz="8" w:space="0"/>
              <w:right w:val="single" w:color="000000" w:sz="8" w:space="0"/>
            </w:tcBorders>
            <w:shd w:val="clear" w:color="auto" w:fill="auto"/>
            <w:vAlign w:val="center"/>
          </w:tcPr>
          <w:p w14:paraId="2F705870">
            <w:pPr>
              <w:jc w:val="center"/>
              <w:rPr>
                <w:rFonts w:hint="eastAsia" w:ascii="宋体" w:hAnsi="宋体" w:eastAsia="宋体" w:cs="宋体"/>
                <w:i w:val="0"/>
                <w:iCs w:val="0"/>
                <w:color w:val="auto"/>
                <w:sz w:val="24"/>
                <w:szCs w:val="24"/>
                <w:u w:val="none"/>
              </w:rPr>
            </w:pPr>
          </w:p>
        </w:tc>
      </w:tr>
      <w:tr w14:paraId="6CCCD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1953BA32">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6170AF0B">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621ED495">
            <w:pPr>
              <w:jc w:val="center"/>
              <w:rPr>
                <w:rFonts w:hint="eastAsia" w:ascii="宋体" w:hAnsi="宋体" w:eastAsia="宋体" w:cs="宋体"/>
                <w:i w:val="0"/>
                <w:iCs w:val="0"/>
                <w:color w:val="auto"/>
                <w:sz w:val="24"/>
                <w:szCs w:val="24"/>
                <w:u w:val="none"/>
              </w:rPr>
            </w:pPr>
          </w:p>
        </w:tc>
        <w:tc>
          <w:tcPr>
            <w:tcW w:w="1274" w:type="dxa"/>
            <w:vMerge w:val="continue"/>
            <w:tcBorders>
              <w:top w:val="nil"/>
              <w:left w:val="nil"/>
              <w:bottom w:val="single" w:color="000000" w:sz="8" w:space="0"/>
              <w:right w:val="single" w:color="000000" w:sz="8" w:space="0"/>
            </w:tcBorders>
            <w:shd w:val="clear" w:color="auto" w:fill="auto"/>
            <w:vAlign w:val="center"/>
          </w:tcPr>
          <w:p w14:paraId="670F04CE">
            <w:pPr>
              <w:jc w:val="center"/>
              <w:rPr>
                <w:rFonts w:hint="eastAsia" w:ascii="宋体" w:hAnsi="宋体" w:eastAsia="宋体" w:cs="宋体"/>
                <w:i w:val="0"/>
                <w:iCs w:val="0"/>
                <w:color w:val="auto"/>
                <w:sz w:val="24"/>
                <w:szCs w:val="24"/>
                <w:u w:val="none"/>
              </w:rPr>
            </w:pPr>
          </w:p>
        </w:tc>
        <w:tc>
          <w:tcPr>
            <w:tcW w:w="1484" w:type="dxa"/>
            <w:tcBorders>
              <w:top w:val="nil"/>
              <w:left w:val="nil"/>
              <w:bottom w:val="single" w:color="000000" w:sz="8" w:space="0"/>
              <w:right w:val="single" w:color="000000" w:sz="8" w:space="0"/>
            </w:tcBorders>
            <w:shd w:val="clear" w:color="auto" w:fill="auto"/>
            <w:vAlign w:val="center"/>
          </w:tcPr>
          <w:p w14:paraId="712FD603">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专业核心课</w:t>
            </w:r>
          </w:p>
        </w:tc>
        <w:tc>
          <w:tcPr>
            <w:tcW w:w="887" w:type="dxa"/>
            <w:tcBorders>
              <w:top w:val="nil"/>
              <w:left w:val="nil"/>
              <w:bottom w:val="single" w:color="000000" w:sz="8" w:space="0"/>
              <w:right w:val="single" w:color="000000" w:sz="8" w:space="0"/>
            </w:tcBorders>
            <w:shd w:val="clear" w:color="auto" w:fill="auto"/>
            <w:vAlign w:val="center"/>
          </w:tcPr>
          <w:p w14:paraId="7AC0BEC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558</w:t>
            </w:r>
          </w:p>
        </w:tc>
        <w:tc>
          <w:tcPr>
            <w:tcW w:w="1588" w:type="dxa"/>
            <w:tcBorders>
              <w:top w:val="nil"/>
              <w:left w:val="nil"/>
              <w:bottom w:val="single" w:color="000000" w:sz="8" w:space="0"/>
              <w:right w:val="single" w:color="000000" w:sz="8" w:space="0"/>
            </w:tcBorders>
            <w:shd w:val="clear" w:color="auto" w:fill="auto"/>
            <w:vAlign w:val="center"/>
          </w:tcPr>
          <w:p w14:paraId="258D9B74">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16.91%</w:t>
            </w:r>
          </w:p>
        </w:tc>
        <w:tc>
          <w:tcPr>
            <w:tcW w:w="826" w:type="dxa"/>
            <w:tcBorders>
              <w:top w:val="nil"/>
              <w:left w:val="nil"/>
              <w:bottom w:val="single" w:color="000000" w:sz="8" w:space="0"/>
              <w:right w:val="single" w:color="000000" w:sz="8" w:space="0"/>
            </w:tcBorders>
            <w:shd w:val="clear" w:color="auto" w:fill="auto"/>
            <w:vAlign w:val="center"/>
          </w:tcPr>
          <w:p w14:paraId="592F1A9C">
            <w:pPr>
              <w:jc w:val="center"/>
              <w:rPr>
                <w:rFonts w:hint="eastAsia" w:ascii="宋体" w:hAnsi="宋体" w:eastAsia="宋体" w:cs="宋体"/>
                <w:i w:val="0"/>
                <w:iCs w:val="0"/>
                <w:color w:val="auto"/>
                <w:sz w:val="24"/>
                <w:szCs w:val="24"/>
                <w:u w:val="none"/>
              </w:rPr>
            </w:pPr>
          </w:p>
        </w:tc>
      </w:tr>
      <w:tr w14:paraId="4B611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8"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52F845C9">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20AE0E92">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30352068">
            <w:pPr>
              <w:jc w:val="center"/>
              <w:rPr>
                <w:rFonts w:hint="eastAsia" w:ascii="宋体" w:hAnsi="宋体" w:eastAsia="宋体" w:cs="宋体"/>
                <w:i w:val="0"/>
                <w:iCs w:val="0"/>
                <w:color w:val="auto"/>
                <w:sz w:val="24"/>
                <w:szCs w:val="24"/>
                <w:u w:val="none"/>
              </w:rPr>
            </w:pPr>
          </w:p>
        </w:tc>
        <w:tc>
          <w:tcPr>
            <w:tcW w:w="1274" w:type="dxa"/>
            <w:vMerge w:val="continue"/>
            <w:tcBorders>
              <w:top w:val="nil"/>
              <w:left w:val="nil"/>
              <w:bottom w:val="single" w:color="000000" w:sz="8" w:space="0"/>
              <w:right w:val="single" w:color="000000" w:sz="8" w:space="0"/>
            </w:tcBorders>
            <w:shd w:val="clear" w:color="auto" w:fill="auto"/>
            <w:vAlign w:val="center"/>
          </w:tcPr>
          <w:p w14:paraId="37EA811B">
            <w:pPr>
              <w:jc w:val="center"/>
              <w:rPr>
                <w:rFonts w:hint="eastAsia" w:ascii="宋体" w:hAnsi="宋体" w:eastAsia="宋体" w:cs="宋体"/>
                <w:i w:val="0"/>
                <w:iCs w:val="0"/>
                <w:color w:val="auto"/>
                <w:sz w:val="24"/>
                <w:szCs w:val="24"/>
                <w:u w:val="none"/>
              </w:rPr>
            </w:pPr>
          </w:p>
        </w:tc>
        <w:tc>
          <w:tcPr>
            <w:tcW w:w="1484" w:type="dxa"/>
            <w:tcBorders>
              <w:top w:val="nil"/>
              <w:left w:val="nil"/>
              <w:bottom w:val="single" w:color="000000" w:sz="8" w:space="0"/>
              <w:right w:val="single" w:color="000000" w:sz="8" w:space="0"/>
            </w:tcBorders>
            <w:shd w:val="clear" w:color="auto" w:fill="auto"/>
            <w:vAlign w:val="center"/>
          </w:tcPr>
          <w:p w14:paraId="0CFD3722">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专业选修课</w:t>
            </w:r>
          </w:p>
        </w:tc>
        <w:tc>
          <w:tcPr>
            <w:tcW w:w="887" w:type="dxa"/>
            <w:tcBorders>
              <w:top w:val="nil"/>
              <w:left w:val="nil"/>
              <w:bottom w:val="single" w:color="000000" w:sz="8" w:space="0"/>
              <w:right w:val="single" w:color="000000" w:sz="8" w:space="0"/>
            </w:tcBorders>
            <w:shd w:val="clear" w:color="auto" w:fill="auto"/>
            <w:vAlign w:val="center"/>
          </w:tcPr>
          <w:p w14:paraId="7935913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162</w:t>
            </w:r>
          </w:p>
        </w:tc>
        <w:tc>
          <w:tcPr>
            <w:tcW w:w="1588" w:type="dxa"/>
            <w:tcBorders>
              <w:top w:val="nil"/>
              <w:left w:val="nil"/>
              <w:bottom w:val="single" w:color="000000" w:sz="8" w:space="0"/>
              <w:right w:val="single" w:color="000000" w:sz="8" w:space="0"/>
            </w:tcBorders>
            <w:shd w:val="clear" w:color="auto" w:fill="auto"/>
            <w:vAlign w:val="center"/>
          </w:tcPr>
          <w:p w14:paraId="298D4596">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4.91%</w:t>
            </w:r>
          </w:p>
        </w:tc>
        <w:tc>
          <w:tcPr>
            <w:tcW w:w="826" w:type="dxa"/>
            <w:tcBorders>
              <w:top w:val="nil"/>
              <w:left w:val="nil"/>
              <w:bottom w:val="single" w:color="000000" w:sz="8" w:space="0"/>
              <w:right w:val="single" w:color="000000" w:sz="8" w:space="0"/>
            </w:tcBorders>
            <w:shd w:val="clear" w:color="auto" w:fill="auto"/>
            <w:vAlign w:val="center"/>
          </w:tcPr>
          <w:p w14:paraId="35D12897">
            <w:pPr>
              <w:jc w:val="center"/>
              <w:rPr>
                <w:rFonts w:hint="eastAsia" w:ascii="宋体" w:hAnsi="宋体" w:eastAsia="宋体" w:cs="宋体"/>
                <w:i w:val="0"/>
                <w:iCs w:val="0"/>
                <w:color w:val="auto"/>
                <w:sz w:val="24"/>
                <w:szCs w:val="24"/>
                <w:u w:val="none"/>
              </w:rPr>
            </w:pPr>
          </w:p>
        </w:tc>
      </w:tr>
      <w:tr w14:paraId="1C8B90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6"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5A86978D">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2295DAD2">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0410D0D9">
            <w:pPr>
              <w:jc w:val="center"/>
              <w:rPr>
                <w:rFonts w:hint="eastAsia" w:ascii="宋体" w:hAnsi="宋体" w:eastAsia="宋体" w:cs="宋体"/>
                <w:i w:val="0"/>
                <w:iCs w:val="0"/>
                <w:color w:val="auto"/>
                <w:sz w:val="24"/>
                <w:szCs w:val="24"/>
                <w:u w:val="none"/>
              </w:rPr>
            </w:pPr>
          </w:p>
        </w:tc>
        <w:tc>
          <w:tcPr>
            <w:tcW w:w="2758" w:type="dxa"/>
            <w:gridSpan w:val="2"/>
            <w:tcBorders>
              <w:top w:val="nil"/>
              <w:left w:val="nil"/>
              <w:bottom w:val="single" w:color="000000" w:sz="8" w:space="0"/>
              <w:right w:val="single" w:color="000000" w:sz="8" w:space="0"/>
            </w:tcBorders>
            <w:shd w:val="clear" w:color="auto" w:fill="auto"/>
            <w:vAlign w:val="center"/>
          </w:tcPr>
          <w:p w14:paraId="0F0AA3C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专业实践课</w:t>
            </w:r>
          </w:p>
        </w:tc>
        <w:tc>
          <w:tcPr>
            <w:tcW w:w="887" w:type="dxa"/>
            <w:tcBorders>
              <w:top w:val="nil"/>
              <w:left w:val="nil"/>
              <w:bottom w:val="single" w:color="000000" w:sz="8" w:space="0"/>
              <w:right w:val="single" w:color="000000" w:sz="8" w:space="0"/>
            </w:tcBorders>
            <w:shd w:val="clear" w:color="auto" w:fill="auto"/>
            <w:vAlign w:val="center"/>
          </w:tcPr>
          <w:p w14:paraId="6D8B4C52">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600</w:t>
            </w:r>
          </w:p>
        </w:tc>
        <w:tc>
          <w:tcPr>
            <w:tcW w:w="1588" w:type="dxa"/>
            <w:tcBorders>
              <w:top w:val="nil"/>
              <w:left w:val="nil"/>
              <w:bottom w:val="single" w:color="000000" w:sz="8" w:space="0"/>
              <w:right w:val="single" w:color="000000" w:sz="8" w:space="0"/>
            </w:tcBorders>
            <w:shd w:val="clear" w:color="auto" w:fill="auto"/>
            <w:vAlign w:val="center"/>
          </w:tcPr>
          <w:p w14:paraId="14E57457">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18.18%</w:t>
            </w:r>
          </w:p>
        </w:tc>
        <w:tc>
          <w:tcPr>
            <w:tcW w:w="826" w:type="dxa"/>
            <w:tcBorders>
              <w:top w:val="nil"/>
              <w:left w:val="nil"/>
              <w:bottom w:val="single" w:color="000000" w:sz="8" w:space="0"/>
              <w:right w:val="single" w:color="000000" w:sz="8" w:space="0"/>
            </w:tcBorders>
            <w:shd w:val="clear" w:color="auto" w:fill="auto"/>
            <w:vAlign w:val="center"/>
          </w:tcPr>
          <w:p w14:paraId="295AF7C3">
            <w:pPr>
              <w:jc w:val="center"/>
              <w:rPr>
                <w:rFonts w:hint="eastAsia" w:ascii="宋体" w:hAnsi="宋体" w:eastAsia="宋体" w:cs="宋体"/>
                <w:i w:val="0"/>
                <w:iCs w:val="0"/>
                <w:color w:val="auto"/>
                <w:sz w:val="24"/>
                <w:szCs w:val="24"/>
                <w:u w:val="none"/>
              </w:rPr>
            </w:pPr>
          </w:p>
        </w:tc>
      </w:tr>
      <w:tr w14:paraId="50134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5" w:hRule="atLeast"/>
        </w:trPr>
        <w:tc>
          <w:tcPr>
            <w:tcW w:w="1289" w:type="dxa"/>
            <w:vMerge w:val="continue"/>
            <w:tcBorders>
              <w:top w:val="nil"/>
              <w:left w:val="single" w:color="000000" w:sz="8" w:space="0"/>
              <w:bottom w:val="single" w:color="000000" w:sz="8" w:space="0"/>
              <w:right w:val="single" w:color="000000" w:sz="8" w:space="0"/>
            </w:tcBorders>
            <w:shd w:val="clear" w:color="auto" w:fill="auto"/>
            <w:vAlign w:val="center"/>
          </w:tcPr>
          <w:p w14:paraId="6ED3B601">
            <w:pPr>
              <w:jc w:val="center"/>
              <w:rPr>
                <w:rFonts w:hint="eastAsia" w:ascii="宋体" w:hAnsi="宋体" w:eastAsia="宋体" w:cs="宋体"/>
                <w:i w:val="0"/>
                <w:iCs w:val="0"/>
                <w:color w:val="auto"/>
                <w:sz w:val="24"/>
                <w:szCs w:val="24"/>
                <w:u w:val="none"/>
              </w:rPr>
            </w:pPr>
          </w:p>
        </w:tc>
        <w:tc>
          <w:tcPr>
            <w:tcW w:w="1146" w:type="dxa"/>
            <w:vMerge w:val="continue"/>
            <w:tcBorders>
              <w:top w:val="nil"/>
              <w:left w:val="nil"/>
              <w:bottom w:val="single" w:color="000000" w:sz="8" w:space="0"/>
              <w:right w:val="single" w:color="000000" w:sz="8" w:space="0"/>
            </w:tcBorders>
            <w:shd w:val="clear" w:color="auto" w:fill="auto"/>
            <w:vAlign w:val="center"/>
          </w:tcPr>
          <w:p w14:paraId="24D7E1AD">
            <w:pPr>
              <w:jc w:val="center"/>
              <w:rPr>
                <w:rFonts w:hint="eastAsia" w:ascii="宋体" w:hAnsi="宋体" w:eastAsia="宋体" w:cs="宋体"/>
                <w:i w:val="0"/>
                <w:iCs w:val="0"/>
                <w:color w:val="auto"/>
                <w:sz w:val="24"/>
                <w:szCs w:val="24"/>
                <w:u w:val="none"/>
              </w:rPr>
            </w:pPr>
          </w:p>
        </w:tc>
        <w:tc>
          <w:tcPr>
            <w:tcW w:w="1467" w:type="dxa"/>
            <w:vMerge w:val="continue"/>
            <w:tcBorders>
              <w:top w:val="nil"/>
              <w:left w:val="nil"/>
              <w:bottom w:val="single" w:color="000000" w:sz="8" w:space="0"/>
              <w:right w:val="single" w:color="000000" w:sz="8" w:space="0"/>
            </w:tcBorders>
            <w:shd w:val="clear" w:color="auto" w:fill="auto"/>
            <w:vAlign w:val="center"/>
          </w:tcPr>
          <w:p w14:paraId="08769050">
            <w:pPr>
              <w:jc w:val="center"/>
              <w:rPr>
                <w:rFonts w:hint="default" w:ascii="宋体" w:hAnsi="宋体" w:eastAsia="宋体" w:cs="宋体"/>
                <w:i w:val="0"/>
                <w:iCs w:val="0"/>
                <w:color w:val="auto"/>
                <w:sz w:val="24"/>
                <w:szCs w:val="24"/>
                <w:u w:val="none"/>
                <w:lang w:val="en-US" w:eastAsia="zh-CN"/>
              </w:rPr>
            </w:pPr>
          </w:p>
        </w:tc>
        <w:tc>
          <w:tcPr>
            <w:tcW w:w="2758" w:type="dxa"/>
            <w:gridSpan w:val="2"/>
            <w:tcBorders>
              <w:top w:val="nil"/>
              <w:left w:val="nil"/>
              <w:bottom w:val="single" w:color="000000" w:sz="8" w:space="0"/>
              <w:right w:val="single" w:color="000000" w:sz="8" w:space="0"/>
            </w:tcBorders>
            <w:shd w:val="clear" w:color="auto" w:fill="auto"/>
            <w:vAlign w:val="center"/>
          </w:tcPr>
          <w:p w14:paraId="7169D10F">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小计</w:t>
            </w:r>
          </w:p>
        </w:tc>
        <w:tc>
          <w:tcPr>
            <w:tcW w:w="887" w:type="dxa"/>
            <w:tcBorders>
              <w:top w:val="nil"/>
              <w:left w:val="nil"/>
              <w:bottom w:val="single" w:color="000000" w:sz="8" w:space="0"/>
              <w:right w:val="single" w:color="000000" w:sz="8" w:space="0"/>
            </w:tcBorders>
            <w:shd w:val="clear" w:color="auto" w:fill="auto"/>
            <w:vAlign w:val="center"/>
          </w:tcPr>
          <w:p w14:paraId="4665FA54">
            <w:pPr>
              <w:keepNext w:val="0"/>
              <w:keepLines w:val="0"/>
              <w:widowControl/>
              <w:suppressLineNumbers w:val="0"/>
              <w:jc w:val="center"/>
              <w:textAlignment w:val="center"/>
              <w:rPr>
                <w:sz w:val="24"/>
                <w:szCs w:val="24"/>
              </w:rPr>
            </w:pPr>
            <w:r>
              <w:rPr>
                <w:rFonts w:hint="eastAsia" w:ascii="宋体" w:hAnsi="宋体" w:eastAsia="宋体" w:cs="宋体"/>
                <w:i w:val="0"/>
                <w:iCs w:val="0"/>
                <w:snapToGrid w:val="0"/>
                <w:color w:val="000000"/>
                <w:kern w:val="0"/>
                <w:sz w:val="24"/>
                <w:szCs w:val="24"/>
                <w:u w:val="none"/>
                <w:lang w:val="en-US" w:eastAsia="zh-CN" w:bidi="ar"/>
              </w:rPr>
              <w:t>1770</w:t>
            </w:r>
          </w:p>
        </w:tc>
        <w:tc>
          <w:tcPr>
            <w:tcW w:w="1588" w:type="dxa"/>
            <w:tcBorders>
              <w:top w:val="nil"/>
              <w:left w:val="nil"/>
              <w:bottom w:val="single" w:color="000000" w:sz="8" w:space="0"/>
              <w:right w:val="single" w:color="000000" w:sz="8" w:space="0"/>
            </w:tcBorders>
            <w:shd w:val="clear" w:color="auto" w:fill="auto"/>
            <w:vAlign w:val="center"/>
          </w:tcPr>
          <w:p w14:paraId="44886548">
            <w:pPr>
              <w:keepNext w:val="0"/>
              <w:keepLines w:val="0"/>
              <w:widowControl/>
              <w:suppressLineNumbers w:val="0"/>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snapToGrid w:val="0"/>
                <w:color w:val="000000"/>
                <w:kern w:val="0"/>
                <w:sz w:val="24"/>
                <w:szCs w:val="24"/>
                <w:u w:val="none"/>
                <w:lang w:val="en-US" w:eastAsia="zh-CN" w:bidi="ar"/>
              </w:rPr>
              <w:t>53.64%</w:t>
            </w:r>
          </w:p>
        </w:tc>
        <w:tc>
          <w:tcPr>
            <w:tcW w:w="826" w:type="dxa"/>
            <w:tcBorders>
              <w:top w:val="nil"/>
              <w:left w:val="nil"/>
              <w:bottom w:val="single" w:color="000000" w:sz="8" w:space="0"/>
              <w:right w:val="single" w:color="000000" w:sz="8" w:space="0"/>
            </w:tcBorders>
            <w:shd w:val="clear" w:color="auto" w:fill="auto"/>
            <w:noWrap/>
            <w:vAlign w:val="center"/>
          </w:tcPr>
          <w:p w14:paraId="1BAFDB59">
            <w:pPr>
              <w:jc w:val="both"/>
              <w:rPr>
                <w:rFonts w:hint="eastAsia" w:ascii="宋体" w:hAnsi="宋体" w:eastAsia="宋体" w:cs="宋体"/>
                <w:i w:val="0"/>
                <w:iCs w:val="0"/>
                <w:color w:val="auto"/>
                <w:sz w:val="24"/>
                <w:szCs w:val="24"/>
                <w:u w:val="none"/>
              </w:rPr>
            </w:pPr>
          </w:p>
        </w:tc>
      </w:tr>
    </w:tbl>
    <w:p w14:paraId="3B0F0C55">
      <w:pPr>
        <w:pStyle w:val="4"/>
        <w:keepNext w:val="0"/>
        <w:keepLines w:val="0"/>
        <w:pageBreakBefore w:val="0"/>
        <w:wordWrap/>
        <w:topLinePunct w:val="0"/>
        <w:bidi w:val="0"/>
        <w:spacing w:before="24" w:line="212" w:lineRule="auto"/>
        <w:ind w:left="3723"/>
        <w:outlineLvl w:val="9"/>
        <w:rPr>
          <w:spacing w:val="-4"/>
        </w:rPr>
      </w:pPr>
    </w:p>
    <w:p w14:paraId="4B5684F9">
      <w:pPr>
        <w:keepNext w:val="0"/>
        <w:keepLines w:val="0"/>
        <w:pageBreakBefore w:val="0"/>
        <w:widowControl/>
        <w:numPr>
          <w:ilvl w:val="0"/>
          <w:numId w:val="3"/>
        </w:numPr>
        <w:kinsoku w:val="0"/>
        <w:wordWrap/>
        <w:overflowPunct/>
        <w:topLinePunct w:val="0"/>
        <w:autoSpaceDE w:val="0"/>
        <w:autoSpaceDN w:val="0"/>
        <w:bidi w:val="0"/>
        <w:adjustRightInd w:val="0"/>
        <w:snapToGrid w:val="0"/>
        <w:spacing w:line="360" w:lineRule="auto"/>
        <w:ind w:firstLine="482" w:firstLineChars="200"/>
        <w:textAlignment w:val="baseline"/>
        <w:outlineLvl w:val="1"/>
        <w:rPr>
          <w:rFonts w:hint="eastAsia" w:ascii="楷体" w:hAnsi="楷体" w:eastAsia="楷体" w:cs="楷体"/>
          <w:b/>
          <w:bCs/>
          <w:color w:val="000000"/>
          <w:sz w:val="24"/>
          <w:szCs w:val="24"/>
          <w:highlight w:val="none"/>
        </w:rPr>
      </w:pPr>
      <w:bookmarkStart w:id="46" w:name="bookmark17"/>
      <w:bookmarkEnd w:id="46"/>
      <w:bookmarkStart w:id="47" w:name="_Toc23916"/>
      <w:r>
        <w:rPr>
          <w:rFonts w:hint="eastAsia" w:ascii="楷体" w:hAnsi="楷体" w:eastAsia="楷体" w:cs="楷体"/>
          <w:b/>
          <w:bCs/>
          <w:color w:val="000000"/>
          <w:sz w:val="24"/>
          <w:szCs w:val="24"/>
          <w:highlight w:val="none"/>
        </w:rPr>
        <w:t>职业认证</w:t>
      </w:r>
      <w:bookmarkEnd w:id="47"/>
    </w:p>
    <w:p w14:paraId="3D6DB6FC">
      <w:pPr>
        <w:pStyle w:val="4"/>
        <w:keepNext w:val="0"/>
        <w:keepLines w:val="0"/>
        <w:pageBreakBefore w:val="0"/>
        <w:wordWrap/>
        <w:topLinePunct w:val="0"/>
        <w:bidi w:val="0"/>
        <w:spacing w:before="22" w:line="219" w:lineRule="auto"/>
        <w:ind w:left="3354"/>
        <w:outlineLvl w:val="9"/>
      </w:pPr>
      <w:r>
        <w:rPr>
          <w:spacing w:val="-3"/>
        </w:rPr>
        <w:t>表</w:t>
      </w:r>
      <w:r>
        <w:rPr>
          <w:rFonts w:hint="eastAsia"/>
          <w:spacing w:val="-47"/>
          <w:lang w:val="en-US" w:eastAsia="zh-CN"/>
        </w:rPr>
        <w:t xml:space="preserve">8 </w:t>
      </w:r>
      <w:r>
        <w:rPr>
          <w:spacing w:val="-50"/>
        </w:rPr>
        <w:t xml:space="preserve"> </w:t>
      </w:r>
      <w:r>
        <w:rPr>
          <w:spacing w:val="-3"/>
        </w:rPr>
        <w:t>职业认证项目训练表</w:t>
      </w:r>
    </w:p>
    <w:p w14:paraId="630B41FC">
      <w:pPr>
        <w:keepNext w:val="0"/>
        <w:keepLines w:val="0"/>
        <w:pageBreakBefore w:val="0"/>
        <w:wordWrap/>
        <w:topLinePunct w:val="0"/>
        <w:bidi w:val="0"/>
        <w:spacing w:line="102" w:lineRule="exact"/>
        <w:outlineLvl w:val="9"/>
      </w:pPr>
      <w:bookmarkStart w:id="48" w:name="bookmark33"/>
      <w:bookmarkEnd w:id="48"/>
    </w:p>
    <w:tbl>
      <w:tblPr>
        <w:tblStyle w:val="12"/>
        <w:tblW w:w="92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34"/>
        <w:gridCol w:w="4167"/>
        <w:gridCol w:w="2063"/>
        <w:gridCol w:w="1254"/>
      </w:tblGrid>
      <w:tr w14:paraId="5F671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1734" w:type="dxa"/>
            <w:vAlign w:val="center"/>
          </w:tcPr>
          <w:p w14:paraId="7E440E78">
            <w:pPr>
              <w:keepNext w:val="0"/>
              <w:keepLines w:val="0"/>
              <w:pageBreakBefore w:val="0"/>
              <w:widowControl w:val="0"/>
              <w:wordWrap/>
              <w:topLinePunct w:val="0"/>
              <w:bidi w:val="0"/>
              <w:spacing w:line="440" w:lineRule="exact"/>
              <w:jc w:val="center"/>
              <w:outlineLvl w:val="9"/>
              <w:rPr>
                <w:rFonts w:hint="eastAsia" w:asciiTheme="minorEastAsia" w:hAnsiTheme="minorEastAsia" w:eastAsiaTheme="minorEastAsia" w:cstheme="minorEastAsia"/>
                <w:color w:val="auto"/>
                <w:szCs w:val="21"/>
                <w:lang w:eastAsia="zh-CN"/>
              </w:rPr>
            </w:pPr>
            <w:bookmarkStart w:id="49" w:name="bookmark18"/>
            <w:bookmarkEnd w:id="49"/>
            <w:r>
              <w:rPr>
                <w:rFonts w:hint="eastAsia" w:asciiTheme="minorEastAsia" w:hAnsiTheme="minorEastAsia" w:cstheme="minorEastAsia"/>
                <w:color w:val="auto"/>
                <w:szCs w:val="21"/>
                <w:lang w:eastAsia="zh-CN"/>
              </w:rPr>
              <w:t>序号</w:t>
            </w:r>
          </w:p>
        </w:tc>
        <w:tc>
          <w:tcPr>
            <w:tcW w:w="4167" w:type="dxa"/>
            <w:vAlign w:val="center"/>
          </w:tcPr>
          <w:p w14:paraId="5AF9CE6D">
            <w:pPr>
              <w:keepNext w:val="0"/>
              <w:keepLines w:val="0"/>
              <w:pageBreakBefore w:val="0"/>
              <w:widowControl w:val="0"/>
              <w:wordWrap/>
              <w:topLinePunct w:val="0"/>
              <w:bidi w:val="0"/>
              <w:spacing w:line="440" w:lineRule="exact"/>
              <w:jc w:val="center"/>
              <w:outlineLvl w:val="9"/>
              <w:rPr>
                <w:rFonts w:asciiTheme="minorEastAsia" w:hAnsiTheme="minorEastAsia" w:cstheme="minorEastAsia"/>
                <w:color w:val="auto"/>
                <w:szCs w:val="21"/>
              </w:rPr>
            </w:pPr>
            <w:r>
              <w:rPr>
                <w:rFonts w:hint="eastAsia" w:asciiTheme="minorEastAsia" w:hAnsiTheme="minorEastAsia" w:cstheme="minorEastAsia"/>
                <w:color w:val="auto"/>
                <w:szCs w:val="21"/>
              </w:rPr>
              <w:t>证书名称</w:t>
            </w:r>
          </w:p>
        </w:tc>
        <w:tc>
          <w:tcPr>
            <w:tcW w:w="2063" w:type="dxa"/>
            <w:vAlign w:val="center"/>
          </w:tcPr>
          <w:p w14:paraId="45C2705C">
            <w:pPr>
              <w:keepNext w:val="0"/>
              <w:keepLines w:val="0"/>
              <w:pageBreakBefore w:val="0"/>
              <w:widowControl w:val="0"/>
              <w:wordWrap/>
              <w:topLinePunct w:val="0"/>
              <w:bidi w:val="0"/>
              <w:spacing w:line="440" w:lineRule="exact"/>
              <w:jc w:val="center"/>
              <w:outlineLvl w:val="9"/>
              <w:rPr>
                <w:rFonts w:hint="eastAsia" w:asciiTheme="minorEastAsia" w:hAnsiTheme="minorEastAsia" w:eastAsiaTheme="minorEastAsia" w:cstheme="minorEastAsia"/>
                <w:color w:val="auto"/>
                <w:szCs w:val="21"/>
                <w:lang w:eastAsia="zh-CN"/>
              </w:rPr>
            </w:pPr>
            <w:r>
              <w:rPr>
                <w:rFonts w:hint="eastAsia" w:asciiTheme="minorEastAsia" w:hAnsiTheme="minorEastAsia" w:cstheme="minorEastAsia"/>
                <w:color w:val="auto"/>
                <w:szCs w:val="21"/>
                <w:lang w:eastAsia="zh-CN"/>
              </w:rPr>
              <w:t>等级</w:t>
            </w:r>
          </w:p>
        </w:tc>
        <w:tc>
          <w:tcPr>
            <w:tcW w:w="1254" w:type="dxa"/>
            <w:vAlign w:val="center"/>
          </w:tcPr>
          <w:p w14:paraId="2AE66830">
            <w:pPr>
              <w:keepNext w:val="0"/>
              <w:keepLines w:val="0"/>
              <w:pageBreakBefore w:val="0"/>
              <w:widowControl w:val="0"/>
              <w:wordWrap/>
              <w:topLinePunct w:val="0"/>
              <w:bidi w:val="0"/>
              <w:spacing w:line="440" w:lineRule="exact"/>
              <w:jc w:val="center"/>
              <w:outlineLvl w:val="9"/>
              <w:rPr>
                <w:rFonts w:hint="eastAsia" w:asciiTheme="minorEastAsia" w:hAnsiTheme="minorEastAsia" w:eastAsiaTheme="minorEastAsia" w:cstheme="minorEastAsia"/>
                <w:color w:val="auto"/>
                <w:szCs w:val="21"/>
                <w:lang w:eastAsia="zh-CN"/>
              </w:rPr>
            </w:pPr>
            <w:r>
              <w:rPr>
                <w:rFonts w:hint="eastAsia" w:asciiTheme="minorEastAsia" w:hAnsiTheme="minorEastAsia" w:cstheme="minorEastAsia"/>
                <w:color w:val="auto"/>
                <w:szCs w:val="21"/>
                <w:lang w:eastAsia="zh-CN"/>
              </w:rPr>
              <w:t>备注</w:t>
            </w:r>
          </w:p>
        </w:tc>
      </w:tr>
      <w:tr w14:paraId="01E26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trPr>
        <w:tc>
          <w:tcPr>
            <w:tcW w:w="1734" w:type="dxa"/>
            <w:vAlign w:val="center"/>
          </w:tcPr>
          <w:p w14:paraId="361A06F9">
            <w:pPr>
              <w:keepNext w:val="0"/>
              <w:keepLines w:val="0"/>
              <w:pageBreakBefore w:val="0"/>
              <w:widowControl w:val="0"/>
              <w:wordWrap/>
              <w:topLinePunct w:val="0"/>
              <w:bidi w:val="0"/>
              <w:spacing w:line="440" w:lineRule="exact"/>
              <w:jc w:val="center"/>
              <w:outlineLvl w:val="9"/>
              <w:rPr>
                <w:rFonts w:hint="eastAsia" w:asciiTheme="minorEastAsia" w:hAnsiTheme="minorEastAsia" w:eastAsiaTheme="minorEastAsia" w:cstheme="minorEastAsia"/>
                <w:color w:val="auto"/>
                <w:szCs w:val="21"/>
                <w:lang w:val="en-US" w:eastAsia="zh-CN"/>
              </w:rPr>
            </w:pPr>
            <w:r>
              <w:rPr>
                <w:rFonts w:hint="eastAsia" w:asciiTheme="minorEastAsia" w:hAnsiTheme="minorEastAsia" w:cstheme="minorEastAsia"/>
                <w:color w:val="auto"/>
                <w:szCs w:val="21"/>
                <w:lang w:val="en-US" w:eastAsia="zh-CN"/>
              </w:rPr>
              <w:t>1</w:t>
            </w:r>
          </w:p>
        </w:tc>
        <w:tc>
          <w:tcPr>
            <w:tcW w:w="4167" w:type="dxa"/>
            <w:vAlign w:val="center"/>
          </w:tcPr>
          <w:p w14:paraId="3BC38CA8">
            <w:pPr>
              <w:keepNext w:val="0"/>
              <w:keepLines w:val="0"/>
              <w:pageBreakBefore w:val="0"/>
              <w:widowControl w:val="0"/>
              <w:wordWrap/>
              <w:topLinePunct w:val="0"/>
              <w:bidi w:val="0"/>
              <w:spacing w:line="440" w:lineRule="exact"/>
              <w:jc w:val="center"/>
              <w:outlineLvl w:val="9"/>
              <w:rPr>
                <w:rFonts w:asciiTheme="minorEastAsia" w:hAnsiTheme="minorEastAsia" w:cstheme="minorEastAsia"/>
                <w:color w:val="auto"/>
                <w:szCs w:val="21"/>
              </w:rPr>
            </w:pPr>
            <w:r>
              <w:rPr>
                <w:rFonts w:hint="eastAsia" w:asciiTheme="minorEastAsia" w:hAnsiTheme="minorEastAsia" w:cstheme="minorEastAsia"/>
                <w:color w:val="auto"/>
                <w:kern w:val="0"/>
                <w:szCs w:val="21"/>
                <w:lang w:eastAsia="zh-CN"/>
              </w:rPr>
              <w:t>新能源汽车维修工</w:t>
            </w:r>
          </w:p>
        </w:tc>
        <w:tc>
          <w:tcPr>
            <w:tcW w:w="2063" w:type="dxa"/>
            <w:vAlign w:val="center"/>
          </w:tcPr>
          <w:p w14:paraId="5EAB6B7B">
            <w:pPr>
              <w:pStyle w:val="16"/>
              <w:keepNext w:val="0"/>
              <w:keepLines w:val="0"/>
              <w:pageBreakBefore w:val="0"/>
              <w:widowControl w:val="0"/>
              <w:kinsoku w:val="0"/>
              <w:wordWrap/>
              <w:overflowPunct w:val="0"/>
              <w:topLinePunct w:val="0"/>
              <w:bidi w:val="0"/>
              <w:spacing w:before="35" w:line="440" w:lineRule="exact"/>
              <w:ind w:right="-44"/>
              <w:jc w:val="center"/>
              <w:outlineLvl w:val="9"/>
              <w:rPr>
                <w:rFonts w:hint="eastAsia" w:asciiTheme="minorEastAsia" w:hAnsiTheme="minorEastAsia" w:eastAsiaTheme="minorEastAsia" w:cstheme="minorEastAsia"/>
                <w:color w:val="auto"/>
                <w:sz w:val="21"/>
                <w:szCs w:val="21"/>
                <w:lang w:eastAsia="zh-CN"/>
              </w:rPr>
            </w:pPr>
            <w:r>
              <w:rPr>
                <w:rFonts w:hint="eastAsia" w:asciiTheme="minorEastAsia" w:hAnsiTheme="minorEastAsia" w:cstheme="minorEastAsia"/>
                <w:color w:val="auto"/>
                <w:sz w:val="21"/>
                <w:szCs w:val="21"/>
                <w:lang w:eastAsia="zh-CN"/>
              </w:rPr>
              <w:t>初级、中级</w:t>
            </w:r>
          </w:p>
        </w:tc>
        <w:tc>
          <w:tcPr>
            <w:tcW w:w="1254" w:type="dxa"/>
            <w:vAlign w:val="center"/>
          </w:tcPr>
          <w:p w14:paraId="07A2F033">
            <w:pPr>
              <w:keepNext w:val="0"/>
              <w:keepLines w:val="0"/>
              <w:pageBreakBefore w:val="0"/>
              <w:widowControl w:val="0"/>
              <w:wordWrap/>
              <w:topLinePunct w:val="0"/>
              <w:bidi w:val="0"/>
              <w:spacing w:line="440" w:lineRule="exact"/>
              <w:jc w:val="center"/>
              <w:outlineLvl w:val="9"/>
              <w:rPr>
                <w:rFonts w:asciiTheme="minorEastAsia" w:hAnsiTheme="minorEastAsia" w:cstheme="minorEastAsia"/>
                <w:color w:val="auto"/>
                <w:szCs w:val="21"/>
              </w:rPr>
            </w:pPr>
          </w:p>
        </w:tc>
      </w:tr>
      <w:tr w14:paraId="221F7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734" w:type="dxa"/>
            <w:vAlign w:val="center"/>
          </w:tcPr>
          <w:p w14:paraId="214155D5">
            <w:pPr>
              <w:keepNext w:val="0"/>
              <w:keepLines w:val="0"/>
              <w:pageBreakBefore w:val="0"/>
              <w:widowControl w:val="0"/>
              <w:wordWrap/>
              <w:topLinePunct w:val="0"/>
              <w:bidi w:val="0"/>
              <w:spacing w:line="440" w:lineRule="exact"/>
              <w:jc w:val="center"/>
              <w:outlineLvl w:val="9"/>
              <w:rPr>
                <w:rFonts w:hint="default" w:asciiTheme="minorEastAsia" w:hAnsiTheme="minorEastAsia" w:eastAsiaTheme="minorEastAsia" w:cstheme="minorEastAsia"/>
                <w:color w:val="auto"/>
                <w:szCs w:val="21"/>
                <w:lang w:val="en-US" w:eastAsia="zh-CN"/>
              </w:rPr>
            </w:pPr>
            <w:r>
              <w:rPr>
                <w:rFonts w:hint="eastAsia" w:asciiTheme="minorEastAsia" w:hAnsiTheme="minorEastAsia" w:cstheme="minorEastAsia"/>
                <w:color w:val="auto"/>
                <w:szCs w:val="21"/>
                <w:lang w:val="en-US" w:eastAsia="zh-CN"/>
              </w:rPr>
              <w:t>2</w:t>
            </w:r>
          </w:p>
        </w:tc>
        <w:tc>
          <w:tcPr>
            <w:tcW w:w="4167" w:type="dxa"/>
            <w:vAlign w:val="center"/>
          </w:tcPr>
          <w:p w14:paraId="29359277">
            <w:pPr>
              <w:keepNext w:val="0"/>
              <w:keepLines w:val="0"/>
              <w:pageBreakBefore w:val="0"/>
              <w:widowControl w:val="0"/>
              <w:wordWrap/>
              <w:topLinePunct w:val="0"/>
              <w:bidi w:val="0"/>
              <w:spacing w:line="360" w:lineRule="auto"/>
              <w:jc w:val="center"/>
              <w:outlineLvl w:val="9"/>
              <w:rPr>
                <w:rFonts w:hint="eastAsia" w:eastAsiaTheme="minorEastAsia"/>
                <w:color w:val="auto"/>
                <w:lang w:eastAsia="zh-CN"/>
              </w:rPr>
            </w:pPr>
            <w:r>
              <w:rPr>
                <w:rFonts w:hint="eastAsia" w:asciiTheme="minorEastAsia" w:hAnsiTheme="minorEastAsia" w:cstheme="minorEastAsia"/>
                <w:color w:val="auto"/>
                <w:kern w:val="0"/>
                <w:szCs w:val="21"/>
                <w:lang w:eastAsia="zh-CN"/>
              </w:rPr>
              <w:t>机动车检测工</w:t>
            </w:r>
          </w:p>
        </w:tc>
        <w:tc>
          <w:tcPr>
            <w:tcW w:w="2063" w:type="dxa"/>
            <w:vAlign w:val="center"/>
          </w:tcPr>
          <w:p w14:paraId="3C49217D">
            <w:pPr>
              <w:keepNext w:val="0"/>
              <w:keepLines w:val="0"/>
              <w:pageBreakBefore w:val="0"/>
              <w:widowControl w:val="0"/>
              <w:wordWrap/>
              <w:topLinePunct w:val="0"/>
              <w:bidi w:val="0"/>
              <w:spacing w:line="440" w:lineRule="exact"/>
              <w:jc w:val="center"/>
              <w:outlineLvl w:val="9"/>
              <w:rPr>
                <w:rFonts w:hint="eastAsia" w:asciiTheme="minorEastAsia" w:hAnsiTheme="minorEastAsia" w:cstheme="minorEastAsia"/>
                <w:color w:val="auto"/>
                <w:szCs w:val="21"/>
              </w:rPr>
            </w:pPr>
            <w:r>
              <w:rPr>
                <w:rFonts w:hint="eastAsia" w:asciiTheme="minorEastAsia" w:hAnsiTheme="minorEastAsia" w:cstheme="minorEastAsia"/>
                <w:color w:val="auto"/>
                <w:sz w:val="21"/>
                <w:szCs w:val="21"/>
                <w:lang w:eastAsia="zh-CN"/>
              </w:rPr>
              <w:t>初级、中级</w:t>
            </w:r>
          </w:p>
        </w:tc>
        <w:tc>
          <w:tcPr>
            <w:tcW w:w="1254" w:type="dxa"/>
            <w:vAlign w:val="center"/>
          </w:tcPr>
          <w:p w14:paraId="6DC61B00">
            <w:pPr>
              <w:keepNext w:val="0"/>
              <w:keepLines w:val="0"/>
              <w:pageBreakBefore w:val="0"/>
              <w:widowControl w:val="0"/>
              <w:wordWrap/>
              <w:topLinePunct w:val="0"/>
              <w:bidi w:val="0"/>
              <w:spacing w:line="440" w:lineRule="exact"/>
              <w:jc w:val="center"/>
              <w:outlineLvl w:val="9"/>
              <w:rPr>
                <w:rFonts w:hint="eastAsia" w:asciiTheme="minorEastAsia" w:hAnsiTheme="minorEastAsia" w:cstheme="minorEastAsia"/>
                <w:color w:val="auto"/>
                <w:szCs w:val="21"/>
              </w:rPr>
            </w:pPr>
          </w:p>
        </w:tc>
      </w:tr>
      <w:tr w14:paraId="24E10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734" w:type="dxa"/>
            <w:vAlign w:val="center"/>
          </w:tcPr>
          <w:p w14:paraId="7557C774">
            <w:pPr>
              <w:keepNext w:val="0"/>
              <w:keepLines w:val="0"/>
              <w:pageBreakBefore w:val="0"/>
              <w:widowControl w:val="0"/>
              <w:wordWrap/>
              <w:topLinePunct w:val="0"/>
              <w:bidi w:val="0"/>
              <w:spacing w:line="440" w:lineRule="exact"/>
              <w:jc w:val="center"/>
              <w:outlineLvl w:val="9"/>
              <w:rPr>
                <w:rFonts w:hint="default" w:asciiTheme="minorEastAsia" w:hAnsiTheme="minorEastAsia" w:cstheme="minorEastAsia"/>
                <w:color w:val="auto"/>
                <w:szCs w:val="21"/>
                <w:lang w:val="en-US" w:eastAsia="zh-CN"/>
              </w:rPr>
            </w:pPr>
            <w:r>
              <w:rPr>
                <w:rFonts w:hint="eastAsia" w:asciiTheme="minorEastAsia" w:hAnsiTheme="minorEastAsia" w:cstheme="minorEastAsia"/>
                <w:color w:val="auto"/>
                <w:szCs w:val="21"/>
                <w:lang w:val="en-US" w:eastAsia="zh-CN"/>
              </w:rPr>
              <w:t>3</w:t>
            </w:r>
          </w:p>
        </w:tc>
        <w:tc>
          <w:tcPr>
            <w:tcW w:w="4167" w:type="dxa"/>
            <w:vAlign w:val="center"/>
          </w:tcPr>
          <w:p w14:paraId="33A91570">
            <w:pPr>
              <w:keepNext w:val="0"/>
              <w:keepLines w:val="0"/>
              <w:pageBreakBefore w:val="0"/>
              <w:widowControl w:val="0"/>
              <w:wordWrap/>
              <w:topLinePunct w:val="0"/>
              <w:bidi w:val="0"/>
              <w:spacing w:line="360" w:lineRule="auto"/>
              <w:jc w:val="center"/>
              <w:outlineLvl w:val="9"/>
              <w:rPr>
                <w:rFonts w:hint="eastAsia" w:asciiTheme="minorEastAsia" w:hAnsiTheme="minorEastAsia" w:cstheme="minorEastAsia"/>
                <w:color w:val="auto"/>
                <w:kern w:val="0"/>
                <w:szCs w:val="21"/>
                <w:lang w:eastAsia="zh-CN"/>
              </w:rPr>
            </w:pPr>
            <w:r>
              <w:rPr>
                <w:rFonts w:hint="eastAsia"/>
                <w:color w:val="auto"/>
              </w:rPr>
              <w:t>“1+X”</w:t>
            </w:r>
            <w:r>
              <w:rPr>
                <w:rFonts w:hint="eastAsia"/>
                <w:color w:val="auto"/>
                <w:lang w:eastAsia="zh-CN"/>
              </w:rPr>
              <w:t>新能源</w:t>
            </w:r>
            <w:r>
              <w:rPr>
                <w:rFonts w:hint="eastAsia"/>
                <w:color w:val="auto"/>
              </w:rPr>
              <w:t>汽车运用与维修；</w:t>
            </w:r>
          </w:p>
        </w:tc>
        <w:tc>
          <w:tcPr>
            <w:tcW w:w="2063" w:type="dxa"/>
            <w:vAlign w:val="center"/>
          </w:tcPr>
          <w:p w14:paraId="223D0112">
            <w:pPr>
              <w:keepNext w:val="0"/>
              <w:keepLines w:val="0"/>
              <w:pageBreakBefore w:val="0"/>
              <w:widowControl w:val="0"/>
              <w:wordWrap/>
              <w:topLinePunct w:val="0"/>
              <w:bidi w:val="0"/>
              <w:spacing w:line="440" w:lineRule="exact"/>
              <w:jc w:val="center"/>
              <w:outlineLvl w:val="9"/>
              <w:rPr>
                <w:rFonts w:hint="eastAsia" w:asciiTheme="minorEastAsia" w:hAnsiTheme="minorEastAsia" w:cstheme="minorEastAsia"/>
                <w:color w:val="auto"/>
                <w:sz w:val="21"/>
                <w:szCs w:val="21"/>
                <w:lang w:eastAsia="zh-CN"/>
              </w:rPr>
            </w:pPr>
            <w:r>
              <w:rPr>
                <w:rFonts w:hint="eastAsia" w:asciiTheme="minorEastAsia" w:hAnsiTheme="minorEastAsia" w:cstheme="minorEastAsia"/>
                <w:color w:val="auto"/>
                <w:sz w:val="21"/>
                <w:szCs w:val="21"/>
                <w:lang w:eastAsia="zh-CN"/>
              </w:rPr>
              <w:t>初级、中级</w:t>
            </w:r>
          </w:p>
        </w:tc>
        <w:tc>
          <w:tcPr>
            <w:tcW w:w="1254" w:type="dxa"/>
            <w:vAlign w:val="center"/>
          </w:tcPr>
          <w:p w14:paraId="443F7448">
            <w:pPr>
              <w:keepNext w:val="0"/>
              <w:keepLines w:val="0"/>
              <w:pageBreakBefore w:val="0"/>
              <w:widowControl w:val="0"/>
              <w:wordWrap/>
              <w:topLinePunct w:val="0"/>
              <w:bidi w:val="0"/>
              <w:spacing w:line="440" w:lineRule="exact"/>
              <w:jc w:val="center"/>
              <w:outlineLvl w:val="9"/>
              <w:rPr>
                <w:rFonts w:hint="eastAsia" w:asciiTheme="minorEastAsia" w:hAnsiTheme="minorEastAsia" w:cstheme="minorEastAsia"/>
                <w:color w:val="auto"/>
                <w:szCs w:val="21"/>
              </w:rPr>
            </w:pPr>
          </w:p>
        </w:tc>
      </w:tr>
    </w:tbl>
    <w:p w14:paraId="706D5346">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rPr>
      </w:pPr>
      <w:bookmarkStart w:id="50" w:name="_Toc12141"/>
      <w:r>
        <w:rPr>
          <w:rFonts w:hint="eastAsia" w:ascii="黑体" w:hAnsi="黑体" w:eastAsia="黑体" w:cs="黑体"/>
          <w:b w:val="0"/>
          <w:bCs w:val="0"/>
          <w:spacing w:val="-7"/>
          <w:sz w:val="24"/>
          <w:szCs w:val="24"/>
          <w:lang w:eastAsia="zh-CN"/>
        </w:rPr>
        <w:t>八</w:t>
      </w:r>
      <w:r>
        <w:rPr>
          <w:rFonts w:hint="eastAsia" w:ascii="黑体" w:hAnsi="黑体" w:eastAsia="黑体" w:cs="黑体"/>
          <w:b w:val="0"/>
          <w:bCs w:val="0"/>
          <w:spacing w:val="-7"/>
          <w:sz w:val="24"/>
          <w:szCs w:val="24"/>
        </w:rPr>
        <w:t>、教学进程总体安排</w:t>
      </w:r>
      <w:bookmarkEnd w:id="50"/>
    </w:p>
    <w:p w14:paraId="515BDD2B">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z w:val="24"/>
          <w:szCs w:val="24"/>
        </w:rPr>
      </w:pPr>
      <w:bookmarkStart w:id="51" w:name="_Toc12335"/>
      <w:r>
        <w:rPr>
          <w:rFonts w:hint="eastAsia" w:ascii="楷体" w:hAnsi="楷体" w:eastAsia="楷体" w:cs="楷体"/>
          <w:b/>
          <w:bCs/>
          <w:spacing w:val="-7"/>
          <w:sz w:val="24"/>
          <w:szCs w:val="24"/>
        </w:rPr>
        <w:t>（一）学时安排</w:t>
      </w:r>
      <w:bookmarkEnd w:id="51"/>
    </w:p>
    <w:p w14:paraId="2623F90D">
      <w:pPr>
        <w:pStyle w:val="4"/>
        <w:keepNext w:val="0"/>
        <w:keepLines w:val="0"/>
        <w:pageBreakBefore w:val="0"/>
        <w:wordWrap/>
        <w:topLinePunct w:val="0"/>
        <w:bidi w:val="0"/>
        <w:spacing w:before="25" w:line="219" w:lineRule="auto"/>
        <w:ind w:left="3054"/>
        <w:outlineLvl w:val="9"/>
        <w:rPr>
          <w:rFonts w:hint="eastAsia" w:ascii="宋体" w:hAnsi="宋体" w:eastAsia="宋体" w:cs="宋体"/>
          <w:sz w:val="24"/>
          <w:szCs w:val="24"/>
        </w:rPr>
      </w:pPr>
      <w:r>
        <w:rPr>
          <w:rFonts w:hint="eastAsia" w:ascii="宋体" w:hAnsi="宋体" w:eastAsia="宋体" w:cs="宋体"/>
          <w:spacing w:val="-4"/>
          <w:sz w:val="24"/>
          <w:szCs w:val="24"/>
        </w:rPr>
        <w:t>表</w:t>
      </w:r>
      <w:r>
        <w:rPr>
          <w:rFonts w:hint="eastAsia" w:cs="宋体"/>
          <w:spacing w:val="-4"/>
          <w:sz w:val="24"/>
          <w:szCs w:val="24"/>
          <w:lang w:val="en-US" w:eastAsia="zh-CN"/>
        </w:rPr>
        <w:t>9</w:t>
      </w:r>
      <w:r>
        <w:rPr>
          <w:rFonts w:hint="eastAsia" w:ascii="宋体" w:hAnsi="宋体" w:eastAsia="宋体" w:cs="宋体"/>
          <w:spacing w:val="-26"/>
          <w:sz w:val="24"/>
          <w:szCs w:val="24"/>
          <w:lang w:val="en-US" w:eastAsia="zh-CN"/>
        </w:rPr>
        <w:t xml:space="preserve"> </w:t>
      </w:r>
      <w:r>
        <w:rPr>
          <w:rFonts w:hint="eastAsia" w:ascii="宋体" w:hAnsi="宋体" w:eastAsia="宋体" w:cs="宋体"/>
          <w:spacing w:val="-48"/>
          <w:sz w:val="24"/>
          <w:szCs w:val="24"/>
        </w:rPr>
        <w:t xml:space="preserve"> </w:t>
      </w:r>
      <w:r>
        <w:rPr>
          <w:rFonts w:hint="eastAsia" w:ascii="宋体" w:hAnsi="宋体" w:eastAsia="宋体" w:cs="宋体"/>
          <w:spacing w:val="-4"/>
          <w:sz w:val="24"/>
          <w:szCs w:val="24"/>
        </w:rPr>
        <w:t>各教学环节总周数分配表</w:t>
      </w:r>
    </w:p>
    <w:tbl>
      <w:tblPr>
        <w:tblStyle w:val="11"/>
        <w:tblW w:w="102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5"/>
        <w:gridCol w:w="855"/>
        <w:gridCol w:w="855"/>
        <w:gridCol w:w="855"/>
        <w:gridCol w:w="855"/>
        <w:gridCol w:w="855"/>
        <w:gridCol w:w="855"/>
        <w:gridCol w:w="855"/>
        <w:gridCol w:w="855"/>
        <w:gridCol w:w="855"/>
        <w:gridCol w:w="855"/>
        <w:gridCol w:w="855"/>
      </w:tblGrid>
      <w:tr w14:paraId="6FE752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A4F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学期</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F18C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入学教育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2064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军事教育</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290C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认识实习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AF5E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考试</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A29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实习</w:t>
            </w:r>
            <w:r>
              <w:rPr>
                <w:rStyle w:val="25"/>
                <w:rFonts w:eastAsia="宋体"/>
                <w:snapToGrid w:val="0"/>
                <w:color w:val="000000"/>
                <w:sz w:val="24"/>
                <w:szCs w:val="24"/>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实训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609C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1+X考证</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CE94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综合实训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93F4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岗位实习</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03A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教学</w:t>
            </w:r>
            <w:r>
              <w:rPr>
                <w:rStyle w:val="25"/>
                <w:rFonts w:eastAsia="宋体"/>
                <w:snapToGrid w:val="0"/>
                <w:color w:val="000000"/>
                <w:sz w:val="24"/>
                <w:szCs w:val="24"/>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周数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4A00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学期教学总数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53B2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备注</w:t>
            </w:r>
          </w:p>
        </w:tc>
      </w:tr>
      <w:tr w14:paraId="25CF9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327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一</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D9BF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E556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4EE8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0B128">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5352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1292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7484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0B2C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6419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EDD8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8C21C">
            <w:pPr>
              <w:jc w:val="center"/>
              <w:rPr>
                <w:rFonts w:hint="eastAsia" w:ascii="宋体" w:hAnsi="宋体" w:eastAsia="宋体" w:cs="宋体"/>
                <w:i w:val="0"/>
                <w:iCs w:val="0"/>
                <w:color w:val="000000"/>
                <w:sz w:val="24"/>
                <w:szCs w:val="24"/>
                <w:u w:val="none"/>
              </w:rPr>
            </w:pPr>
          </w:p>
        </w:tc>
      </w:tr>
      <w:tr w14:paraId="202C6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569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二</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5C9FB">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BF77D">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E8C8F">
            <w:pPr>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1639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83F9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3B5C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085F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7561E">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C84B0">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3A9A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87D41">
            <w:pPr>
              <w:jc w:val="center"/>
              <w:rPr>
                <w:rFonts w:hint="eastAsia" w:ascii="宋体" w:hAnsi="宋体" w:eastAsia="宋体" w:cs="宋体"/>
                <w:i w:val="0"/>
                <w:iCs w:val="0"/>
                <w:color w:val="000000"/>
                <w:sz w:val="24"/>
                <w:szCs w:val="24"/>
                <w:u w:val="none"/>
              </w:rPr>
            </w:pPr>
          </w:p>
        </w:tc>
      </w:tr>
      <w:tr w14:paraId="2EA3AA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32DB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三</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AC65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C3688">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C8509">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7377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DD46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C7867">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21D2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2E1DC">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714A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4ABF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2452F">
            <w:pPr>
              <w:jc w:val="center"/>
              <w:rPr>
                <w:rFonts w:hint="eastAsia" w:ascii="宋体" w:hAnsi="宋体" w:eastAsia="宋体" w:cs="宋体"/>
                <w:i w:val="0"/>
                <w:iCs w:val="0"/>
                <w:color w:val="000000"/>
                <w:sz w:val="24"/>
                <w:szCs w:val="24"/>
                <w:u w:val="none"/>
              </w:rPr>
            </w:pPr>
          </w:p>
        </w:tc>
      </w:tr>
      <w:tr w14:paraId="4F630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93BE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四</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1C744">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696F6">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342E9">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0C93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F2E1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8EFA1">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555A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90DC4">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0FB7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339E5">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67FD4">
            <w:pPr>
              <w:jc w:val="center"/>
              <w:rPr>
                <w:rFonts w:hint="eastAsia" w:ascii="宋体" w:hAnsi="宋体" w:eastAsia="宋体" w:cs="宋体"/>
                <w:i w:val="0"/>
                <w:iCs w:val="0"/>
                <w:color w:val="000000"/>
                <w:sz w:val="24"/>
                <w:szCs w:val="24"/>
                <w:u w:val="none"/>
              </w:rPr>
            </w:pPr>
          </w:p>
        </w:tc>
      </w:tr>
      <w:tr w14:paraId="3178C1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B92ED">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五</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5BD43">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B54C2">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39B62">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5D919">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C0F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4849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2A6B4">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81398">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0F3C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18</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4CE1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39446">
            <w:pPr>
              <w:jc w:val="center"/>
              <w:rPr>
                <w:rFonts w:hint="eastAsia" w:ascii="宋体" w:hAnsi="宋体" w:eastAsia="宋体" w:cs="宋体"/>
                <w:i w:val="0"/>
                <w:iCs w:val="0"/>
                <w:color w:val="000000"/>
                <w:sz w:val="24"/>
                <w:szCs w:val="24"/>
                <w:u w:val="none"/>
              </w:rPr>
            </w:pPr>
          </w:p>
        </w:tc>
      </w:tr>
      <w:tr w14:paraId="5C847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6002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六</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54518">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278D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59935">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5E7CD">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A579A">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1222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F398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3D5E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1B5E8">
            <w:pPr>
              <w:jc w:val="center"/>
              <w:rPr>
                <w:rFonts w:hint="eastAsia" w:ascii="宋体" w:hAnsi="宋体" w:eastAsia="宋体" w:cs="宋体"/>
                <w:i w:val="0"/>
                <w:iCs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B3B5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20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3C772">
            <w:pPr>
              <w:jc w:val="center"/>
              <w:rPr>
                <w:rFonts w:hint="eastAsia" w:ascii="宋体" w:hAnsi="宋体" w:eastAsia="宋体" w:cs="宋体"/>
                <w:i w:val="0"/>
                <w:iCs w:val="0"/>
                <w:color w:val="000000"/>
                <w:sz w:val="24"/>
                <w:szCs w:val="24"/>
                <w:u w:val="none"/>
              </w:rPr>
            </w:pPr>
          </w:p>
        </w:tc>
      </w:tr>
      <w:tr w14:paraId="35CD2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jc w:val="center"/>
        </w:trPr>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D13D2">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总计</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520E4">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B086A">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0.5</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817CB">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DD0E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AAF2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57CF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FAE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4</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54516">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F730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90</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30DC3">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snapToGrid w:val="0"/>
                <w:color w:val="000000"/>
                <w:kern w:val="0"/>
                <w:sz w:val="24"/>
                <w:szCs w:val="24"/>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00870">
            <w:pPr>
              <w:rPr>
                <w:rFonts w:hint="eastAsia" w:ascii="宋体" w:hAnsi="宋体" w:eastAsia="宋体" w:cs="宋体"/>
                <w:i w:val="0"/>
                <w:iCs w:val="0"/>
                <w:color w:val="000000"/>
                <w:sz w:val="24"/>
                <w:szCs w:val="24"/>
                <w:u w:val="none"/>
              </w:rPr>
            </w:pPr>
          </w:p>
        </w:tc>
      </w:tr>
    </w:tbl>
    <w:p w14:paraId="6CE03F24">
      <w:pPr>
        <w:keepNext w:val="0"/>
        <w:keepLines w:val="0"/>
        <w:pageBreakBefore w:val="0"/>
        <w:wordWrap/>
        <w:topLinePunct w:val="0"/>
        <w:bidi w:val="0"/>
        <w:spacing w:line="269" w:lineRule="auto"/>
        <w:outlineLvl w:val="9"/>
        <w:rPr>
          <w:rFonts w:ascii="Arial"/>
          <w:sz w:val="21"/>
        </w:rPr>
      </w:pPr>
    </w:p>
    <w:p w14:paraId="3925B750">
      <w:pPr>
        <w:keepNext w:val="0"/>
        <w:keepLines w:val="0"/>
        <w:pageBreakBefore w:val="0"/>
        <w:widowControl/>
        <w:kinsoku w:val="0"/>
        <w:wordWrap/>
        <w:overflowPunct/>
        <w:topLinePunct w:val="0"/>
        <w:autoSpaceDE w:val="0"/>
        <w:autoSpaceDN w:val="0"/>
        <w:bidi w:val="0"/>
        <w:adjustRightInd w:val="0"/>
        <w:snapToGrid w:val="0"/>
        <w:spacing w:before="38" w:line="221" w:lineRule="auto"/>
        <w:ind w:left="641"/>
        <w:textAlignment w:val="baseline"/>
        <w:outlineLvl w:val="1"/>
        <w:rPr>
          <w:rFonts w:hint="eastAsia" w:ascii="楷体" w:hAnsi="楷体" w:eastAsia="楷体" w:cs="楷体"/>
          <w:b/>
          <w:bCs/>
          <w:spacing w:val="-7"/>
          <w:sz w:val="24"/>
          <w:szCs w:val="24"/>
        </w:rPr>
      </w:pPr>
      <w:bookmarkStart w:id="52" w:name="_Toc22983"/>
      <w:r>
        <w:rPr>
          <w:rFonts w:hint="eastAsia" w:ascii="楷体" w:hAnsi="楷体" w:eastAsia="楷体" w:cs="楷体"/>
          <w:b/>
          <w:bCs/>
          <w:spacing w:val="-7"/>
          <w:sz w:val="24"/>
          <w:szCs w:val="24"/>
        </w:rPr>
        <w:t>（二）教学进程总体安排</w:t>
      </w:r>
      <w:bookmarkEnd w:id="52"/>
    </w:p>
    <w:tbl>
      <w:tblPr>
        <w:tblStyle w:val="11"/>
        <w:tblW w:w="1038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96"/>
        <w:gridCol w:w="396"/>
        <w:gridCol w:w="396"/>
        <w:gridCol w:w="1418"/>
        <w:gridCol w:w="404"/>
        <w:gridCol w:w="404"/>
        <w:gridCol w:w="576"/>
        <w:gridCol w:w="576"/>
        <w:gridCol w:w="576"/>
        <w:gridCol w:w="498"/>
        <w:gridCol w:w="423"/>
        <w:gridCol w:w="424"/>
        <w:gridCol w:w="423"/>
        <w:gridCol w:w="424"/>
        <w:gridCol w:w="423"/>
        <w:gridCol w:w="424"/>
        <w:gridCol w:w="424"/>
        <w:gridCol w:w="424"/>
        <w:gridCol w:w="423"/>
        <w:gridCol w:w="425"/>
        <w:gridCol w:w="509"/>
      </w:tblGrid>
      <w:tr w14:paraId="303E6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75" w:hRule="atLeast"/>
          <w:jc w:val="center"/>
        </w:trPr>
        <w:tc>
          <w:tcPr>
            <w:tcW w:w="10386" w:type="dxa"/>
            <w:gridSpan w:val="21"/>
            <w:tcBorders>
              <w:top w:val="nil"/>
              <w:left w:val="nil"/>
              <w:bottom w:val="nil"/>
              <w:right w:val="nil"/>
            </w:tcBorders>
            <w:shd w:val="clear" w:color="auto" w:fill="auto"/>
            <w:vAlign w:val="center"/>
          </w:tcPr>
          <w:p w14:paraId="4683110A">
            <w:pPr>
              <w:pStyle w:val="4"/>
              <w:keepNext w:val="0"/>
              <w:keepLines w:val="0"/>
              <w:pageBreakBefore w:val="0"/>
              <w:wordWrap/>
              <w:topLinePunct w:val="0"/>
              <w:bidi w:val="0"/>
              <w:spacing w:before="25" w:line="219" w:lineRule="auto"/>
              <w:ind w:left="3054"/>
              <w:outlineLvl w:val="9"/>
              <w:rPr>
                <w:rFonts w:hint="eastAsia" w:ascii="宋体" w:hAnsi="宋体" w:eastAsia="宋体" w:cs="宋体"/>
                <w:b/>
                <w:bCs/>
                <w:i w:val="0"/>
                <w:iCs w:val="0"/>
                <w:color w:val="000000"/>
                <w:sz w:val="24"/>
                <w:szCs w:val="24"/>
                <w:u w:val="none"/>
              </w:rPr>
            </w:pPr>
            <w:r>
              <w:rPr>
                <w:rFonts w:hint="eastAsia" w:cs="宋体"/>
                <w:spacing w:val="-4"/>
                <w:sz w:val="24"/>
                <w:szCs w:val="24"/>
                <w:lang w:val="en-US" w:eastAsia="zh-CN"/>
              </w:rPr>
              <w:t xml:space="preserve">表10 </w:t>
            </w:r>
            <w:r>
              <w:rPr>
                <w:rFonts w:hint="eastAsia" w:ascii="宋体" w:hAnsi="宋体" w:eastAsia="宋体" w:cs="宋体"/>
                <w:spacing w:val="-4"/>
                <w:sz w:val="24"/>
                <w:szCs w:val="24"/>
                <w:lang w:val="en-US" w:eastAsia="zh-CN"/>
              </w:rPr>
              <w:t>新能源汽车运用与维修专业教学进程安排表</w:t>
            </w:r>
          </w:p>
        </w:tc>
      </w:tr>
      <w:tr w14:paraId="2300E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54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86DA9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课程</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类别</w:t>
            </w:r>
          </w:p>
        </w:tc>
        <w:tc>
          <w:tcPr>
            <w:tcW w:w="3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B66FF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序号</w:t>
            </w:r>
          </w:p>
        </w:tc>
        <w:tc>
          <w:tcPr>
            <w:tcW w:w="1743" w:type="dxa"/>
            <w:vMerge w:val="restart"/>
            <w:tcBorders>
              <w:top w:val="single" w:color="000000" w:sz="4" w:space="0"/>
              <w:left w:val="single" w:color="000000" w:sz="4" w:space="0"/>
              <w:bottom w:val="nil"/>
              <w:right w:val="single" w:color="000000" w:sz="4" w:space="0"/>
            </w:tcBorders>
            <w:shd w:val="clear" w:color="auto" w:fill="auto"/>
            <w:vAlign w:val="center"/>
          </w:tcPr>
          <w:p w14:paraId="1404E0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课程名称</w:t>
            </w:r>
          </w:p>
        </w:tc>
        <w:tc>
          <w:tcPr>
            <w:tcW w:w="814" w:type="dxa"/>
            <w:gridSpan w:val="2"/>
            <w:tcBorders>
              <w:top w:val="single" w:color="000000" w:sz="4" w:space="0"/>
              <w:left w:val="nil"/>
              <w:bottom w:val="single" w:color="000000" w:sz="4" w:space="0"/>
              <w:right w:val="nil"/>
            </w:tcBorders>
            <w:shd w:val="clear" w:color="auto" w:fill="auto"/>
            <w:vAlign w:val="center"/>
          </w:tcPr>
          <w:p w14:paraId="10571A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考核</w:t>
            </w:r>
            <w:r>
              <w:rPr>
                <w:rFonts w:hint="eastAsia" w:ascii="宋体" w:hAnsi="宋体" w:eastAsia="宋体" w:cs="宋体"/>
                <w:i w:val="0"/>
                <w:iCs w:val="0"/>
                <w:snapToGrid w:val="0"/>
                <w:color w:val="000000"/>
                <w:kern w:val="0"/>
                <w:sz w:val="18"/>
                <w:szCs w:val="18"/>
                <w:u w:val="none"/>
                <w:lang w:val="en-US" w:eastAsia="zh-CN" w:bidi="ar"/>
              </w:rPr>
              <w:br w:type="textWrapping"/>
            </w:r>
            <w:r>
              <w:rPr>
                <w:rFonts w:hint="eastAsia" w:ascii="宋体" w:hAnsi="宋体" w:eastAsia="宋体" w:cs="宋体"/>
                <w:i w:val="0"/>
                <w:iCs w:val="0"/>
                <w:snapToGrid w:val="0"/>
                <w:color w:val="000000"/>
                <w:kern w:val="0"/>
                <w:sz w:val="18"/>
                <w:szCs w:val="18"/>
                <w:u w:val="none"/>
                <w:lang w:val="en-US" w:eastAsia="zh-CN" w:bidi="ar"/>
              </w:rPr>
              <w:t>方式</w:t>
            </w:r>
          </w:p>
        </w:tc>
        <w:tc>
          <w:tcPr>
            <w:tcW w:w="2088" w:type="dxa"/>
            <w:gridSpan w:val="4"/>
            <w:tcBorders>
              <w:top w:val="single" w:color="000000" w:sz="4" w:space="0"/>
              <w:left w:val="nil"/>
              <w:bottom w:val="single" w:color="000000" w:sz="4" w:space="0"/>
              <w:right w:val="nil"/>
            </w:tcBorders>
            <w:shd w:val="clear" w:color="auto" w:fill="auto"/>
            <w:vAlign w:val="center"/>
          </w:tcPr>
          <w:p w14:paraId="5196B9A4">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学时分配</w:t>
            </w:r>
          </w:p>
        </w:tc>
        <w:tc>
          <w:tcPr>
            <w:tcW w:w="4862"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14:paraId="1534D6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各学期教学周数和周学时</w:t>
            </w:r>
          </w:p>
        </w:tc>
      </w:tr>
      <w:tr w14:paraId="69D1DE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jc w:val="center"/>
        </w:trPr>
        <w:tc>
          <w:tcPr>
            <w:tcW w:w="5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EB5771">
            <w:pPr>
              <w:jc w:val="center"/>
              <w:rPr>
                <w:rFonts w:hint="eastAsia" w:asciiTheme="minorEastAsia" w:hAnsiTheme="minorEastAsia" w:eastAsiaTheme="minorEastAsia" w:cstheme="minorEastAsia"/>
                <w:i w:val="0"/>
                <w:iCs w:val="0"/>
                <w:color w:val="000000"/>
                <w:sz w:val="21"/>
                <w:szCs w:val="21"/>
                <w:u w:val="none"/>
              </w:rPr>
            </w:pPr>
          </w:p>
        </w:tc>
        <w:tc>
          <w:tcPr>
            <w:tcW w:w="3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D46959">
            <w:pPr>
              <w:jc w:val="center"/>
            </w:pPr>
          </w:p>
        </w:tc>
        <w:tc>
          <w:tcPr>
            <w:tcW w:w="1743" w:type="dxa"/>
            <w:vMerge w:val="continue"/>
            <w:tcBorders>
              <w:top w:val="single" w:color="000000" w:sz="4" w:space="0"/>
              <w:left w:val="single" w:color="000000" w:sz="4" w:space="0"/>
              <w:bottom w:val="nil"/>
              <w:right w:val="single" w:color="000000" w:sz="4" w:space="0"/>
            </w:tcBorders>
            <w:shd w:val="clear" w:color="auto" w:fill="auto"/>
            <w:vAlign w:val="center"/>
          </w:tcPr>
          <w:p w14:paraId="52223E36">
            <w:pPr>
              <w:jc w:val="center"/>
              <w:rPr>
                <w:rFonts w:hint="eastAsia" w:asciiTheme="minorEastAsia" w:hAnsiTheme="minorEastAsia" w:eastAsiaTheme="minorEastAsia" w:cstheme="minorEastAsia"/>
                <w:i w:val="0"/>
                <w:iCs w:val="0"/>
                <w:color w:val="000000"/>
                <w:sz w:val="21"/>
                <w:szCs w:val="21"/>
                <w:u w:val="none"/>
              </w:rPr>
            </w:pPr>
          </w:p>
        </w:tc>
        <w:tc>
          <w:tcPr>
            <w:tcW w:w="4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3238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考试</w:t>
            </w:r>
          </w:p>
        </w:tc>
        <w:tc>
          <w:tcPr>
            <w:tcW w:w="40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97E3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考查</w:t>
            </w:r>
          </w:p>
        </w:tc>
        <w:tc>
          <w:tcPr>
            <w:tcW w:w="4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43D56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理论</w:t>
            </w:r>
          </w:p>
        </w:tc>
        <w:tc>
          <w:tcPr>
            <w:tcW w:w="5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BBC7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1927F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总学时数</w:t>
            </w:r>
          </w:p>
        </w:tc>
        <w:tc>
          <w:tcPr>
            <w:tcW w:w="50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983BE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学分</w:t>
            </w:r>
          </w:p>
        </w:tc>
        <w:tc>
          <w:tcPr>
            <w:tcW w:w="173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60EF6C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第一学年</w:t>
            </w:r>
          </w:p>
        </w:tc>
        <w:tc>
          <w:tcPr>
            <w:tcW w:w="173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59F32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第二学年</w:t>
            </w:r>
          </w:p>
        </w:tc>
        <w:tc>
          <w:tcPr>
            <w:tcW w:w="13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46825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第三学年</w:t>
            </w:r>
          </w:p>
        </w:tc>
      </w:tr>
      <w:tr w14:paraId="2C40A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44D761">
            <w:pPr>
              <w:jc w:val="center"/>
              <w:rPr>
                <w:rFonts w:hint="eastAsia" w:asciiTheme="minorEastAsia" w:hAnsiTheme="minorEastAsia" w:eastAsiaTheme="minorEastAsia" w:cstheme="minorEastAsia"/>
                <w:i w:val="0"/>
                <w:iCs w:val="0"/>
                <w:color w:val="000000"/>
                <w:sz w:val="21"/>
                <w:szCs w:val="21"/>
                <w:u w:val="none"/>
              </w:rPr>
            </w:pPr>
          </w:p>
        </w:tc>
        <w:tc>
          <w:tcPr>
            <w:tcW w:w="3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9E2335">
            <w:pPr>
              <w:jc w:val="center"/>
            </w:pPr>
          </w:p>
        </w:tc>
        <w:tc>
          <w:tcPr>
            <w:tcW w:w="1743" w:type="dxa"/>
            <w:vMerge w:val="continue"/>
            <w:tcBorders>
              <w:top w:val="single" w:color="000000" w:sz="4" w:space="0"/>
              <w:left w:val="single" w:color="000000" w:sz="4" w:space="0"/>
              <w:bottom w:val="nil"/>
              <w:right w:val="single" w:color="000000" w:sz="4" w:space="0"/>
            </w:tcBorders>
            <w:shd w:val="clear" w:color="auto" w:fill="auto"/>
            <w:vAlign w:val="center"/>
          </w:tcPr>
          <w:p w14:paraId="68EE999C">
            <w:pPr>
              <w:jc w:val="center"/>
              <w:rPr>
                <w:rFonts w:hint="eastAsia" w:asciiTheme="minorEastAsia" w:hAnsiTheme="minorEastAsia" w:eastAsiaTheme="minorEastAsia" w:cstheme="minorEastAsia"/>
                <w:i w:val="0"/>
                <w:iCs w:val="0"/>
                <w:color w:val="000000"/>
                <w:sz w:val="21"/>
                <w:szCs w:val="21"/>
                <w:u w:val="none"/>
              </w:rPr>
            </w:pPr>
          </w:p>
        </w:tc>
        <w:tc>
          <w:tcPr>
            <w:tcW w:w="4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381ABD">
            <w:pPr>
              <w:jc w:val="center"/>
              <w:rPr>
                <w:rFonts w:hint="eastAsia" w:asciiTheme="minorEastAsia" w:hAnsiTheme="minorEastAsia" w:eastAsiaTheme="minorEastAsia" w:cstheme="minorEastAsia"/>
                <w:i w:val="0"/>
                <w:iCs w:val="0"/>
                <w:color w:val="000000"/>
                <w:sz w:val="21"/>
                <w:szCs w:val="21"/>
                <w:u w:val="none"/>
              </w:rPr>
            </w:pPr>
          </w:p>
        </w:tc>
        <w:tc>
          <w:tcPr>
            <w:tcW w:w="4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2D8A1B">
            <w:pPr>
              <w:jc w:val="center"/>
              <w:rPr>
                <w:rFonts w:hint="eastAsia" w:asciiTheme="minorEastAsia" w:hAnsiTheme="minorEastAsia" w:eastAsiaTheme="minorEastAsia" w:cstheme="minorEastAsia"/>
                <w:i w:val="0"/>
                <w:iCs w:val="0"/>
                <w:color w:val="000000"/>
                <w:sz w:val="21"/>
                <w:szCs w:val="21"/>
                <w:u w:val="none"/>
              </w:rPr>
            </w:pPr>
          </w:p>
        </w:tc>
        <w:tc>
          <w:tcPr>
            <w:tcW w:w="4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D0E24B">
            <w:pPr>
              <w:jc w:val="center"/>
            </w:pPr>
          </w:p>
        </w:tc>
        <w:tc>
          <w:tcPr>
            <w:tcW w:w="5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BAF4D3">
            <w:pPr>
              <w:jc w:val="center"/>
              <w:rPr>
                <w:rFonts w:hint="eastAsia" w:asciiTheme="minorEastAsia" w:hAnsiTheme="minorEastAsia" w:eastAsiaTheme="minorEastAsia" w:cstheme="minorEastAsia"/>
                <w:i w:val="0"/>
                <w:iCs w:val="0"/>
                <w:color w:val="000000"/>
                <w:sz w:val="21"/>
                <w:szCs w:val="21"/>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6A4D4D">
            <w:pPr>
              <w:jc w:val="center"/>
              <w:rPr>
                <w:rFonts w:hint="eastAsia" w:asciiTheme="minorEastAsia" w:hAnsiTheme="minorEastAsia" w:eastAsiaTheme="minorEastAsia" w:cstheme="minorEastAsia"/>
                <w:i w:val="0"/>
                <w:iCs w:val="0"/>
                <w:color w:val="000000"/>
                <w:sz w:val="21"/>
                <w:szCs w:val="21"/>
                <w:u w:val="none"/>
              </w:rPr>
            </w:pPr>
          </w:p>
        </w:tc>
        <w:tc>
          <w:tcPr>
            <w:tcW w:w="5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FF7B8F">
            <w:pPr>
              <w:jc w:val="center"/>
            </w:pP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1515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62D8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423C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DDFF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A156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8AA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6</w:t>
            </w:r>
          </w:p>
        </w:tc>
      </w:tr>
      <w:tr w14:paraId="14CA4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90FA34">
            <w:pPr>
              <w:jc w:val="center"/>
              <w:rPr>
                <w:rFonts w:hint="eastAsia" w:asciiTheme="minorEastAsia" w:hAnsiTheme="minorEastAsia" w:eastAsiaTheme="minorEastAsia" w:cstheme="minorEastAsia"/>
                <w:i w:val="0"/>
                <w:iCs w:val="0"/>
                <w:color w:val="000000"/>
                <w:sz w:val="21"/>
                <w:szCs w:val="21"/>
                <w:u w:val="none"/>
              </w:rPr>
            </w:pPr>
          </w:p>
        </w:tc>
        <w:tc>
          <w:tcPr>
            <w:tcW w:w="3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95C39D">
            <w:pPr>
              <w:jc w:val="center"/>
            </w:pPr>
          </w:p>
        </w:tc>
        <w:tc>
          <w:tcPr>
            <w:tcW w:w="1743" w:type="dxa"/>
            <w:vMerge w:val="continue"/>
            <w:tcBorders>
              <w:top w:val="single" w:color="000000" w:sz="4" w:space="0"/>
              <w:left w:val="single" w:color="000000" w:sz="4" w:space="0"/>
              <w:bottom w:val="nil"/>
              <w:right w:val="single" w:color="000000" w:sz="4" w:space="0"/>
            </w:tcBorders>
            <w:shd w:val="clear" w:color="auto" w:fill="auto"/>
            <w:vAlign w:val="center"/>
          </w:tcPr>
          <w:p w14:paraId="357EFFCE">
            <w:pPr>
              <w:jc w:val="center"/>
              <w:rPr>
                <w:rFonts w:hint="eastAsia" w:asciiTheme="minorEastAsia" w:hAnsiTheme="minorEastAsia" w:eastAsiaTheme="minorEastAsia" w:cstheme="minorEastAsia"/>
                <w:i w:val="0"/>
                <w:iCs w:val="0"/>
                <w:color w:val="000000"/>
                <w:sz w:val="21"/>
                <w:szCs w:val="21"/>
                <w:u w:val="none"/>
              </w:rPr>
            </w:pPr>
          </w:p>
        </w:tc>
        <w:tc>
          <w:tcPr>
            <w:tcW w:w="4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9302EC">
            <w:pPr>
              <w:jc w:val="center"/>
              <w:rPr>
                <w:rFonts w:hint="eastAsia" w:asciiTheme="minorEastAsia" w:hAnsiTheme="minorEastAsia" w:eastAsiaTheme="minorEastAsia" w:cstheme="minorEastAsia"/>
                <w:i w:val="0"/>
                <w:iCs w:val="0"/>
                <w:color w:val="000000"/>
                <w:sz w:val="21"/>
                <w:szCs w:val="21"/>
                <w:u w:val="none"/>
              </w:rPr>
            </w:pPr>
          </w:p>
        </w:tc>
        <w:tc>
          <w:tcPr>
            <w:tcW w:w="4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3ED7C2">
            <w:pPr>
              <w:jc w:val="center"/>
              <w:rPr>
                <w:rFonts w:hint="eastAsia" w:asciiTheme="minorEastAsia" w:hAnsiTheme="minorEastAsia" w:eastAsiaTheme="minorEastAsia" w:cstheme="minorEastAsia"/>
                <w:i w:val="0"/>
                <w:iCs w:val="0"/>
                <w:color w:val="000000"/>
                <w:sz w:val="21"/>
                <w:szCs w:val="21"/>
                <w:u w:val="none"/>
              </w:rPr>
            </w:pPr>
          </w:p>
        </w:tc>
        <w:tc>
          <w:tcPr>
            <w:tcW w:w="4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6F4654">
            <w:pPr>
              <w:jc w:val="center"/>
            </w:pPr>
          </w:p>
        </w:tc>
        <w:tc>
          <w:tcPr>
            <w:tcW w:w="5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B912CB">
            <w:pPr>
              <w:jc w:val="center"/>
              <w:rPr>
                <w:rFonts w:hint="eastAsia" w:asciiTheme="minorEastAsia" w:hAnsiTheme="minorEastAsia" w:eastAsiaTheme="minorEastAsia" w:cstheme="minorEastAsia"/>
                <w:i w:val="0"/>
                <w:iCs w:val="0"/>
                <w:color w:val="000000"/>
                <w:sz w:val="21"/>
                <w:szCs w:val="21"/>
                <w:u w:val="none"/>
              </w:rPr>
            </w:pPr>
          </w:p>
        </w:tc>
        <w:tc>
          <w:tcPr>
            <w:tcW w:w="5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F008D">
            <w:pPr>
              <w:jc w:val="center"/>
              <w:rPr>
                <w:rFonts w:hint="eastAsia" w:asciiTheme="minorEastAsia" w:hAnsiTheme="minorEastAsia" w:eastAsiaTheme="minorEastAsia" w:cstheme="minorEastAsia"/>
                <w:i w:val="0"/>
                <w:iCs w:val="0"/>
                <w:color w:val="000000"/>
                <w:sz w:val="21"/>
                <w:szCs w:val="21"/>
                <w:u w:val="none"/>
              </w:rPr>
            </w:pPr>
          </w:p>
        </w:tc>
        <w:tc>
          <w:tcPr>
            <w:tcW w:w="50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171EDE">
            <w:pPr>
              <w:jc w:val="center"/>
            </w:pP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14A8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A741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3C718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18周</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513D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6C2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18周</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898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20周</w:t>
            </w:r>
          </w:p>
        </w:tc>
      </w:tr>
      <w:tr w14:paraId="0EAC3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6" w:hRule="atLeast"/>
          <w:jc w:val="center"/>
        </w:trPr>
        <w:tc>
          <w:tcPr>
            <w:tcW w:w="54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22BEAA">
            <w:pPr>
              <w:jc w:val="center"/>
              <w:rPr>
                <w:rFonts w:hint="eastAsia" w:asciiTheme="minorEastAsia" w:hAnsiTheme="minorEastAsia" w:eastAsiaTheme="minorEastAsia" w:cstheme="minorEastAsia"/>
                <w:i w:val="0"/>
                <w:iCs w:val="0"/>
                <w:color w:val="000000"/>
                <w:sz w:val="21"/>
                <w:szCs w:val="21"/>
                <w:u w:val="none"/>
              </w:rPr>
            </w:pPr>
          </w:p>
        </w:tc>
        <w:tc>
          <w:tcPr>
            <w:tcW w:w="3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1175E0">
            <w:pPr>
              <w:jc w:val="center"/>
            </w:pPr>
          </w:p>
        </w:tc>
        <w:tc>
          <w:tcPr>
            <w:tcW w:w="1743" w:type="dxa"/>
            <w:vMerge w:val="continue"/>
            <w:tcBorders>
              <w:top w:val="single" w:color="000000" w:sz="4" w:space="0"/>
              <w:left w:val="single" w:color="000000" w:sz="4" w:space="0"/>
              <w:bottom w:val="nil"/>
              <w:right w:val="single" w:color="000000" w:sz="4" w:space="0"/>
            </w:tcBorders>
            <w:shd w:val="clear" w:color="auto" w:fill="auto"/>
            <w:vAlign w:val="center"/>
          </w:tcPr>
          <w:p w14:paraId="01437C4A">
            <w:pPr>
              <w:jc w:val="center"/>
              <w:rPr>
                <w:rFonts w:hint="eastAsia" w:asciiTheme="minorEastAsia" w:hAnsiTheme="minorEastAsia" w:eastAsiaTheme="minorEastAsia" w:cstheme="minorEastAsia"/>
                <w:i w:val="0"/>
                <w:iCs w:val="0"/>
                <w:color w:val="000000"/>
                <w:sz w:val="21"/>
                <w:szCs w:val="21"/>
                <w:u w:val="none"/>
              </w:rPr>
            </w:pPr>
          </w:p>
        </w:tc>
        <w:tc>
          <w:tcPr>
            <w:tcW w:w="4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445A58">
            <w:pPr>
              <w:jc w:val="center"/>
              <w:rPr>
                <w:rFonts w:hint="eastAsia" w:asciiTheme="minorEastAsia" w:hAnsiTheme="minorEastAsia" w:eastAsiaTheme="minorEastAsia" w:cstheme="minorEastAsia"/>
                <w:i w:val="0"/>
                <w:iCs w:val="0"/>
                <w:color w:val="000000"/>
                <w:sz w:val="21"/>
                <w:szCs w:val="21"/>
                <w:u w:val="none"/>
              </w:rPr>
            </w:pPr>
          </w:p>
        </w:tc>
        <w:tc>
          <w:tcPr>
            <w:tcW w:w="40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7F36D">
            <w:pPr>
              <w:jc w:val="center"/>
              <w:rPr>
                <w:rFonts w:hint="eastAsia" w:asciiTheme="minorEastAsia" w:hAnsiTheme="minorEastAsia" w:eastAsiaTheme="minorEastAsia" w:cstheme="minorEastAsia"/>
                <w:i w:val="0"/>
                <w:iCs w:val="0"/>
                <w:color w:val="000000"/>
                <w:sz w:val="21"/>
                <w:szCs w:val="21"/>
                <w:u w:val="none"/>
              </w:rPr>
            </w:pPr>
          </w:p>
        </w:tc>
        <w:tc>
          <w:tcPr>
            <w:tcW w:w="4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1E16ED">
            <w:pPr>
              <w:jc w:val="center"/>
            </w:pPr>
          </w:p>
        </w:tc>
        <w:tc>
          <w:tcPr>
            <w:tcW w:w="5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E59D0D">
            <w:pPr>
              <w:jc w:val="center"/>
              <w:rPr>
                <w:rFonts w:hint="eastAsia" w:asciiTheme="minorEastAsia" w:hAnsiTheme="minorEastAsia" w:eastAsiaTheme="minorEastAsia" w:cstheme="minorEastAsia"/>
                <w:i w:val="0"/>
                <w:iCs w:val="0"/>
                <w:color w:val="000000"/>
                <w:sz w:val="21"/>
                <w:szCs w:val="21"/>
                <w:u w:val="none"/>
              </w:rPr>
            </w:pPr>
          </w:p>
        </w:tc>
        <w:tc>
          <w:tcPr>
            <w:tcW w:w="570" w:type="dxa"/>
            <w:vMerge w:val="continue"/>
            <w:tcBorders>
              <w:top w:val="single" w:color="000000" w:sz="4" w:space="0"/>
              <w:left w:val="single" w:color="000000" w:sz="4" w:space="0"/>
              <w:bottom w:val="nil"/>
              <w:right w:val="single" w:color="000000" w:sz="4" w:space="0"/>
            </w:tcBorders>
            <w:shd w:val="clear" w:color="auto" w:fill="auto"/>
            <w:vAlign w:val="center"/>
          </w:tcPr>
          <w:p w14:paraId="4E4CA6E8">
            <w:pPr>
              <w:jc w:val="center"/>
              <w:rPr>
                <w:rFonts w:hint="eastAsia" w:asciiTheme="minorEastAsia" w:hAnsiTheme="minorEastAsia" w:eastAsiaTheme="minorEastAsia" w:cstheme="minorEastAsia"/>
                <w:i w:val="0"/>
                <w:iCs w:val="0"/>
                <w:color w:val="000000"/>
                <w:sz w:val="21"/>
                <w:szCs w:val="21"/>
                <w:u w:val="none"/>
              </w:rPr>
            </w:pPr>
          </w:p>
        </w:tc>
        <w:tc>
          <w:tcPr>
            <w:tcW w:w="502" w:type="dxa"/>
            <w:vMerge w:val="continue"/>
            <w:tcBorders>
              <w:top w:val="single" w:color="000000" w:sz="4" w:space="0"/>
              <w:left w:val="single" w:color="000000" w:sz="4" w:space="0"/>
              <w:bottom w:val="nil"/>
              <w:right w:val="single" w:color="000000" w:sz="4" w:space="0"/>
            </w:tcBorders>
            <w:shd w:val="clear" w:color="auto" w:fill="auto"/>
            <w:vAlign w:val="center"/>
          </w:tcPr>
          <w:p w14:paraId="6473F3DF">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nil"/>
              <w:right w:val="single" w:color="000000" w:sz="4" w:space="0"/>
            </w:tcBorders>
            <w:shd w:val="clear" w:color="auto" w:fill="auto"/>
            <w:vAlign w:val="center"/>
          </w:tcPr>
          <w:p w14:paraId="0F5340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35" w:type="dxa"/>
            <w:tcBorders>
              <w:top w:val="single" w:color="000000" w:sz="4" w:space="0"/>
              <w:left w:val="single" w:color="000000" w:sz="4" w:space="0"/>
              <w:bottom w:val="nil"/>
              <w:right w:val="single" w:color="000000" w:sz="4" w:space="0"/>
            </w:tcBorders>
            <w:shd w:val="clear" w:color="auto" w:fill="auto"/>
            <w:vAlign w:val="center"/>
          </w:tcPr>
          <w:p w14:paraId="58468E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34" w:type="dxa"/>
            <w:tcBorders>
              <w:top w:val="single" w:color="000000" w:sz="4" w:space="0"/>
              <w:left w:val="single" w:color="000000" w:sz="4" w:space="0"/>
              <w:bottom w:val="nil"/>
              <w:right w:val="single" w:color="000000" w:sz="4" w:space="0"/>
            </w:tcBorders>
            <w:shd w:val="clear" w:color="auto" w:fill="auto"/>
            <w:vAlign w:val="center"/>
          </w:tcPr>
          <w:p w14:paraId="62DD5F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35" w:type="dxa"/>
            <w:tcBorders>
              <w:top w:val="single" w:color="000000" w:sz="4" w:space="0"/>
              <w:left w:val="single" w:color="000000" w:sz="4" w:space="0"/>
              <w:bottom w:val="nil"/>
              <w:right w:val="single" w:color="000000" w:sz="4" w:space="0"/>
            </w:tcBorders>
            <w:shd w:val="clear" w:color="auto" w:fill="auto"/>
            <w:vAlign w:val="center"/>
          </w:tcPr>
          <w:p w14:paraId="6458CFC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实训</w:t>
            </w:r>
          </w:p>
        </w:tc>
        <w:tc>
          <w:tcPr>
            <w:tcW w:w="434" w:type="dxa"/>
            <w:tcBorders>
              <w:top w:val="single" w:color="000000" w:sz="4" w:space="0"/>
              <w:left w:val="single" w:color="000000" w:sz="4" w:space="0"/>
              <w:bottom w:val="nil"/>
              <w:right w:val="single" w:color="000000" w:sz="4" w:space="0"/>
            </w:tcBorders>
            <w:shd w:val="clear" w:color="auto" w:fill="auto"/>
            <w:vAlign w:val="center"/>
          </w:tcPr>
          <w:p w14:paraId="3AD03C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35" w:type="dxa"/>
            <w:tcBorders>
              <w:top w:val="single" w:color="000000" w:sz="4" w:space="0"/>
              <w:left w:val="single" w:color="000000" w:sz="4" w:space="0"/>
              <w:bottom w:val="nil"/>
              <w:right w:val="single" w:color="000000" w:sz="4" w:space="0"/>
            </w:tcBorders>
            <w:shd w:val="clear" w:color="auto" w:fill="auto"/>
            <w:vAlign w:val="center"/>
          </w:tcPr>
          <w:p w14:paraId="54F26F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35" w:type="dxa"/>
            <w:tcBorders>
              <w:top w:val="single" w:color="000000" w:sz="4" w:space="0"/>
              <w:left w:val="single" w:color="000000" w:sz="4" w:space="0"/>
              <w:bottom w:val="nil"/>
              <w:right w:val="single" w:color="000000" w:sz="4" w:space="0"/>
            </w:tcBorders>
            <w:shd w:val="clear" w:color="auto" w:fill="auto"/>
            <w:vAlign w:val="center"/>
          </w:tcPr>
          <w:p w14:paraId="1CB910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35" w:type="dxa"/>
            <w:tcBorders>
              <w:top w:val="single" w:color="000000" w:sz="4" w:space="0"/>
              <w:left w:val="single" w:color="000000" w:sz="4" w:space="0"/>
              <w:bottom w:val="nil"/>
              <w:right w:val="single" w:color="000000" w:sz="4" w:space="0"/>
            </w:tcBorders>
            <w:shd w:val="clear" w:color="auto" w:fill="auto"/>
            <w:vAlign w:val="center"/>
          </w:tcPr>
          <w:p w14:paraId="251AB6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434" w:type="dxa"/>
            <w:tcBorders>
              <w:top w:val="single" w:color="000000" w:sz="4" w:space="0"/>
              <w:left w:val="single" w:color="000000" w:sz="4" w:space="0"/>
              <w:bottom w:val="nil"/>
              <w:right w:val="single" w:color="000000" w:sz="4" w:space="0"/>
            </w:tcBorders>
            <w:shd w:val="clear" w:color="auto" w:fill="auto"/>
            <w:vAlign w:val="center"/>
          </w:tcPr>
          <w:p w14:paraId="665178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理论</w:t>
            </w:r>
          </w:p>
        </w:tc>
        <w:tc>
          <w:tcPr>
            <w:tcW w:w="435" w:type="dxa"/>
            <w:tcBorders>
              <w:top w:val="single" w:color="000000" w:sz="4" w:space="0"/>
              <w:left w:val="single" w:color="000000" w:sz="4" w:space="0"/>
              <w:bottom w:val="nil"/>
              <w:right w:val="single" w:color="000000" w:sz="4" w:space="0"/>
            </w:tcBorders>
            <w:shd w:val="clear" w:color="auto" w:fill="auto"/>
            <w:vAlign w:val="center"/>
          </w:tcPr>
          <w:p w14:paraId="25E685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实训</w:t>
            </w:r>
          </w:p>
        </w:tc>
        <w:tc>
          <w:tcPr>
            <w:tcW w:w="516" w:type="dxa"/>
            <w:tcBorders>
              <w:top w:val="single" w:color="000000" w:sz="4" w:space="0"/>
              <w:left w:val="single" w:color="000000" w:sz="4" w:space="0"/>
              <w:bottom w:val="nil"/>
              <w:right w:val="single" w:color="000000" w:sz="4" w:space="0"/>
            </w:tcBorders>
            <w:shd w:val="clear" w:color="auto" w:fill="auto"/>
            <w:vAlign w:val="center"/>
          </w:tcPr>
          <w:p w14:paraId="031B44C3">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实习</w:t>
            </w:r>
          </w:p>
        </w:tc>
      </w:tr>
      <w:tr w14:paraId="3D295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0DC69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公共课</w:t>
            </w:r>
          </w:p>
        </w:tc>
        <w:tc>
          <w:tcPr>
            <w:tcW w:w="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7646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公共基础课</w:t>
            </w: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6C7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953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中国特色社会主义</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8F5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44249">
            <w:pP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24494">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1A8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EE6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279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117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6883D">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1B948">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99ABF">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75AE">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8492B">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19D1B">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36B5A">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59E23">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A2E68">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E51F1">
            <w:pPr>
              <w:jc w:val="center"/>
            </w:pPr>
          </w:p>
        </w:tc>
      </w:tr>
      <w:tr w14:paraId="42DFA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5CED0E">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69E11">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FCF0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53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心理健康与职业生涯</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B0E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CC052">
            <w:pP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45F1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DF9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E89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0F3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DEFF2">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62ABB">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86D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701AF">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7037A">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8182E">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94C56">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BE9F5">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FE594">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38EBE">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20F04">
            <w:pPr>
              <w:jc w:val="center"/>
            </w:pPr>
          </w:p>
        </w:tc>
      </w:tr>
      <w:tr w14:paraId="19AC3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97560A">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1E30C5">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98DF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B26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哲学与人生</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6BF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EF3A2">
            <w:pP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2B06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42F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F2C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185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CC23B">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60150">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B8C7D">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C8D5E">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A13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40313">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F8D53">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4BF9">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4DD0A">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11E09">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794BF">
            <w:pPr>
              <w:jc w:val="center"/>
            </w:pPr>
          </w:p>
        </w:tc>
      </w:tr>
      <w:tr w14:paraId="44134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142E1">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697664">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E253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C5A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职业道德与法治</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BDA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924E1">
            <w:pP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8F07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B8C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DB7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27B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00085">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AD82B">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00100">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84470">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F382A">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37F5">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1E6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076C8">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8C7BB">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890EA">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767EC">
            <w:pPr>
              <w:jc w:val="center"/>
            </w:pPr>
          </w:p>
        </w:tc>
      </w:tr>
      <w:tr w14:paraId="432B5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9D2CFD">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4F2AA9">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3D16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7A90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习近平新时代中国特色社会主义（读本）</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01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A21DD">
            <w:pP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C94E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682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5CC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221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654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3067F">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D8DFC">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175F2">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8EEA5">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6964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B9CC8">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43FB6">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3E811">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B8E11">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FF9DA">
            <w:pPr>
              <w:jc w:val="center"/>
            </w:pPr>
          </w:p>
        </w:tc>
      </w:tr>
      <w:tr w14:paraId="029E3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760B15">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8A845D">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5F07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6</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85F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语文</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BDD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55DBB">
            <w:pP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5BF7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216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8CE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3EF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216</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F38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240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81203">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9BA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518A3">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A60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55D4D">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E06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C126D">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81B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00AE">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86401">
            <w:pPr>
              <w:jc w:val="center"/>
            </w:pPr>
          </w:p>
        </w:tc>
      </w:tr>
      <w:tr w14:paraId="1CE8D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3DEA0">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4F54EC">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1764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076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历史</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E50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47847">
            <w:pP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EB2D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72</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BAA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938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72</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631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2C3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1D6CC">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B3E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D6D447">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7E3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6C180">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FC3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ED57C">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A7970">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4157C">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CD0F0">
            <w:pPr>
              <w:jc w:val="center"/>
            </w:pPr>
          </w:p>
        </w:tc>
      </w:tr>
      <w:tr w14:paraId="06E864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AE12A0">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719B26">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51AD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8</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6F8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数学</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FF9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1670C">
            <w:pP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FE6F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180</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2EC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292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06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36D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EBB19">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E00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6C196">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63A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DAA14">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AA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C7330">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B6E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6DF1F">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25646">
            <w:pPr>
              <w:jc w:val="center"/>
            </w:pPr>
          </w:p>
        </w:tc>
      </w:tr>
      <w:tr w14:paraId="422B6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D4636E">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D0FB586">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9795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9</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069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英语</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EE0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9ADF0">
            <w:pPr>
              <w:jc w:val="cente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E988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180</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FA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D1A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15B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B75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659C8">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89F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81CAE">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816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B2FA7">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01B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0FC3A">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9A1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B0C5B">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A4C29">
            <w:pPr>
              <w:jc w:val="center"/>
            </w:pPr>
          </w:p>
        </w:tc>
      </w:tr>
      <w:tr w14:paraId="68C356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FEF95">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DC5AA4">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58DA3">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10</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166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信息技术</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744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D911F">
            <w:pPr>
              <w:jc w:val="center"/>
              <w:rPr>
                <w:rFonts w:hint="eastAsia" w:asciiTheme="minorEastAsia" w:hAnsiTheme="minorEastAsia" w:eastAsiaTheme="minorEastAsia" w:cstheme="minorEastAsia"/>
                <w:i w:val="0"/>
                <w:iCs w:val="0"/>
                <w:color w:val="000000"/>
                <w:sz w:val="21"/>
                <w:szCs w:val="21"/>
                <w:u w:val="none"/>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17B2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72</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2C5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884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108</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DB6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666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59DF0">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3D5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C295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DC26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B347D">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89582">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18355">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65CED">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623A6">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E3775">
            <w:pPr>
              <w:jc w:val="center"/>
            </w:pPr>
          </w:p>
        </w:tc>
      </w:tr>
      <w:tr w14:paraId="263C5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54C358">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5031A3">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D4E7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11</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ADF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体育与健康</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AE62B">
            <w:pPr>
              <w:jc w:val="center"/>
              <w:rPr>
                <w:rFonts w:hint="eastAsia" w:asciiTheme="minorEastAsia" w:hAnsiTheme="minorEastAsia" w:eastAsiaTheme="minorEastAsia" w:cstheme="minorEastAsia"/>
                <w:i w:val="0"/>
                <w:iCs w:val="0"/>
                <w:color w:val="000000"/>
                <w:sz w:val="21"/>
                <w:szCs w:val="21"/>
                <w:u w:val="none"/>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1AA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EEE2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CFE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C1B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834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10</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BC82F">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DE9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3678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79E0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1A8CE">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321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1487">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D38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7E006">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8F4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9D4A3">
            <w:pPr>
              <w:jc w:val="center"/>
            </w:pPr>
          </w:p>
        </w:tc>
      </w:tr>
      <w:tr w14:paraId="20CFD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CA2D2B">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EA8ECC">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D54A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93C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艺术</w:t>
            </w:r>
            <w:r>
              <w:rPr>
                <w:rFonts w:hint="eastAsia" w:ascii="宋体" w:hAnsi="宋体" w:eastAsia="宋体" w:cs="宋体"/>
                <w:i w:val="0"/>
                <w:iCs w:val="0"/>
                <w:snapToGrid w:val="0"/>
                <w:color w:val="000000"/>
                <w:kern w:val="0"/>
                <w:sz w:val="12"/>
                <w:szCs w:val="12"/>
                <w:u w:val="none"/>
                <w:lang w:val="en-US" w:eastAsia="zh-CN" w:bidi="ar"/>
              </w:rPr>
              <w:t>（音乐、美术）</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74996">
            <w:pPr>
              <w:jc w:val="center"/>
              <w:rPr>
                <w:rFonts w:hint="eastAsia" w:asciiTheme="minorEastAsia" w:hAnsiTheme="minorEastAsia" w:eastAsiaTheme="minorEastAsia" w:cstheme="minorEastAsia"/>
                <w:i w:val="0"/>
                <w:iCs w:val="0"/>
                <w:color w:val="000000"/>
                <w:sz w:val="21"/>
                <w:szCs w:val="21"/>
                <w:u w:val="none"/>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B3E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BD1D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0EC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EF6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36</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E8C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56F48">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22A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F3F3">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E644">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7EF86">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AD9F0">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E8661">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A48DE">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64E7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6AEEB">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5D1A0">
            <w:pPr>
              <w:jc w:val="center"/>
            </w:pPr>
          </w:p>
        </w:tc>
      </w:tr>
      <w:tr w14:paraId="178AE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9E6338">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FDE06E5">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640D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13</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66E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劳动教育</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A1436">
            <w:pPr>
              <w:rPr>
                <w:rFonts w:hint="eastAsia" w:asciiTheme="minorEastAsia" w:hAnsiTheme="minorEastAsia" w:eastAsiaTheme="minorEastAsia" w:cstheme="minorEastAsia"/>
                <w:i w:val="0"/>
                <w:iCs w:val="0"/>
                <w:color w:val="000000"/>
                <w:sz w:val="21"/>
                <w:szCs w:val="21"/>
                <w:u w:val="none"/>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B8D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CD09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0F1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20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44E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CAF0E">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978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ACA7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AD21B">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ED945">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D24C5C">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2F12F">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F298C">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43B7C">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63B26">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8E2EC">
            <w:pPr>
              <w:jc w:val="center"/>
            </w:pPr>
          </w:p>
        </w:tc>
      </w:tr>
      <w:tr w14:paraId="71013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66A058">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1BEE3A">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A128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14</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C60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物理</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0DA0B">
            <w:pPr>
              <w:rPr>
                <w:rFonts w:hint="eastAsia" w:asciiTheme="minorEastAsia" w:hAnsiTheme="minorEastAsia" w:eastAsiaTheme="minorEastAsia" w:cstheme="minorEastAsia"/>
                <w:i w:val="0"/>
                <w:iCs w:val="0"/>
                <w:color w:val="000000"/>
                <w:sz w:val="21"/>
                <w:szCs w:val="21"/>
                <w:u w:val="none"/>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88F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FFE1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54</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F64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73A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54</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A75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B7A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9AB24">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7A7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DDF6B">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B3A44">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1AE7F">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57F1A">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5D9BC">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28294">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48D37">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BD787">
            <w:pPr>
              <w:jc w:val="center"/>
            </w:pPr>
          </w:p>
        </w:tc>
      </w:tr>
      <w:tr w14:paraId="7E0DF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81498D">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B92B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公共选修课</w:t>
            </w: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0426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15</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25D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优秀传统文化</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9E1C9F">
            <w:pPr>
              <w:rPr>
                <w:rFonts w:hint="eastAsia" w:asciiTheme="minorEastAsia" w:hAnsiTheme="minorEastAsia" w:eastAsiaTheme="minorEastAsia" w:cstheme="minorEastAsia"/>
                <w:i w:val="0"/>
                <w:iCs w:val="0"/>
                <w:color w:val="000000"/>
                <w:sz w:val="21"/>
                <w:szCs w:val="21"/>
                <w:u w:val="none"/>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83D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3F6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FC9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1F0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63D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3639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0524B">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6172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7F894">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0A3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89860">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85680">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6C05C">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1F231">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F1DB3">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08DC">
            <w:pPr>
              <w:jc w:val="center"/>
            </w:pPr>
          </w:p>
        </w:tc>
      </w:tr>
      <w:tr w14:paraId="12F04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CD345">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A85B68">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2CB5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16</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273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就业指导</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6DC49">
            <w:pPr>
              <w:jc w:val="center"/>
              <w:rPr>
                <w:rFonts w:hint="eastAsia" w:asciiTheme="minorEastAsia" w:hAnsiTheme="minorEastAsia" w:eastAsiaTheme="minorEastAsia" w:cstheme="minorEastAsia"/>
                <w:i w:val="0"/>
                <w:iCs w:val="0"/>
                <w:color w:val="000000"/>
                <w:sz w:val="21"/>
                <w:szCs w:val="21"/>
                <w:u w:val="none"/>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1D17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FCBA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65E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C92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751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D745A">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7355C">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0D8BD">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A4295">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02EE">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7D803">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06871">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2DDC9">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918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nil"/>
              <w:right w:val="single" w:color="000000" w:sz="4" w:space="0"/>
            </w:tcBorders>
            <w:shd w:val="clear" w:color="auto" w:fill="auto"/>
            <w:vAlign w:val="center"/>
          </w:tcPr>
          <w:p w14:paraId="232ADFB4">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nil"/>
              <w:right w:val="single" w:color="000000" w:sz="4" w:space="0"/>
            </w:tcBorders>
            <w:shd w:val="clear" w:color="auto" w:fill="auto"/>
            <w:vAlign w:val="center"/>
          </w:tcPr>
          <w:p w14:paraId="4283FC07">
            <w:pPr>
              <w:jc w:val="center"/>
            </w:pPr>
          </w:p>
        </w:tc>
      </w:tr>
      <w:tr w14:paraId="6C19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2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71EDBF">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CD9C6B">
            <w:pPr>
              <w:jc w:val="center"/>
              <w:rPr>
                <w:rFonts w:hint="eastAsia" w:asciiTheme="minorEastAsia" w:hAnsiTheme="minorEastAsia" w:eastAsiaTheme="minorEastAsia" w:cstheme="minorEastAsia"/>
                <w:i w:val="0"/>
                <w:iCs w:val="0"/>
                <w:color w:val="000000"/>
                <w:sz w:val="21"/>
                <w:szCs w:val="21"/>
                <w:u w:val="none"/>
              </w:rPr>
            </w:pPr>
          </w:p>
        </w:tc>
        <w:tc>
          <w:tcPr>
            <w:tcW w:w="28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77260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465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972</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556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270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4A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1242</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6BCD3">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69</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70CF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054D0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19</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7BB74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6A1C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11</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FDC3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9</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842D3">
            <w:pPr>
              <w:jc w:val="center"/>
              <w:rPr>
                <w:rFonts w:hint="eastAsia" w:asciiTheme="minorEastAsia" w:hAnsiTheme="minorEastAsia" w:eastAsiaTheme="minorEastAsia" w:cstheme="minorEastAsia"/>
                <w:i w:val="0"/>
                <w:iCs w:val="0"/>
                <w:color w:val="000000"/>
                <w:sz w:val="21"/>
                <w:szCs w:val="21"/>
                <w:u w:val="none"/>
              </w:rPr>
            </w:pPr>
          </w:p>
        </w:tc>
      </w:tr>
      <w:tr w14:paraId="2CE62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70" w:type="dxa"/>
            <w:vMerge w:val="restart"/>
            <w:tcBorders>
              <w:top w:val="nil"/>
              <w:left w:val="single" w:color="000000" w:sz="4" w:space="0"/>
              <w:bottom w:val="nil"/>
              <w:right w:val="nil"/>
            </w:tcBorders>
            <w:shd w:val="clear" w:color="auto" w:fill="auto"/>
            <w:vAlign w:val="center"/>
          </w:tcPr>
          <w:p w14:paraId="1548CE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专业课</w:t>
            </w:r>
          </w:p>
        </w:tc>
        <w:tc>
          <w:tcPr>
            <w:tcW w:w="2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4D24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专业基础课</w:t>
            </w: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99ED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743" w:type="dxa"/>
            <w:tcBorders>
              <w:top w:val="single" w:color="000000" w:sz="4" w:space="0"/>
              <w:left w:val="nil"/>
              <w:bottom w:val="single" w:color="000000" w:sz="4" w:space="0"/>
              <w:right w:val="single" w:color="000000" w:sz="4" w:space="0"/>
            </w:tcBorders>
            <w:shd w:val="clear" w:color="auto" w:fill="auto"/>
            <w:vAlign w:val="center"/>
          </w:tcPr>
          <w:p w14:paraId="33CDA90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汽车机械基础</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566E6">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1F04">
            <w:pP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C9E48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6396B">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36</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EC446">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72</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2301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DD7E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9349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B4864">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A6DDF">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5D442">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A9B04">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A1B54">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1215B">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7871F">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E4F2D">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163A6">
            <w:pPr>
              <w:jc w:val="center"/>
            </w:pPr>
          </w:p>
        </w:tc>
      </w:tr>
      <w:tr w14:paraId="4C437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270" w:type="dxa"/>
            <w:vMerge w:val="continue"/>
            <w:tcBorders>
              <w:top w:val="nil"/>
              <w:left w:val="single" w:color="000000" w:sz="4" w:space="0"/>
              <w:bottom w:val="nil"/>
              <w:right w:val="nil"/>
            </w:tcBorders>
            <w:shd w:val="clear" w:color="auto" w:fill="auto"/>
            <w:vAlign w:val="center"/>
          </w:tcPr>
          <w:p w14:paraId="6D61F197">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32D35A">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D747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743" w:type="dxa"/>
            <w:tcBorders>
              <w:top w:val="single" w:color="000000" w:sz="4" w:space="0"/>
              <w:left w:val="nil"/>
              <w:bottom w:val="single" w:color="000000" w:sz="4" w:space="0"/>
              <w:right w:val="single" w:color="000000" w:sz="4" w:space="0"/>
            </w:tcBorders>
            <w:shd w:val="clear" w:color="auto" w:fill="auto"/>
            <w:vAlign w:val="center"/>
          </w:tcPr>
          <w:p w14:paraId="5F8C8C5D">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汽车机械识图</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E25F9E">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0BD48">
            <w:pP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C5F2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C99DD">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36</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DCB2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54</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12197">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337E">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2DCB5">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B99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6283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65AFD">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04FAE">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6F702">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7EA79">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3F91">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0B728">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8EE5C">
            <w:pPr>
              <w:jc w:val="center"/>
            </w:pPr>
          </w:p>
        </w:tc>
      </w:tr>
      <w:tr w14:paraId="2A8DD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270" w:type="dxa"/>
            <w:vMerge w:val="continue"/>
            <w:tcBorders>
              <w:top w:val="nil"/>
              <w:left w:val="single" w:color="000000" w:sz="4" w:space="0"/>
              <w:bottom w:val="nil"/>
              <w:right w:val="nil"/>
            </w:tcBorders>
            <w:shd w:val="clear" w:color="auto" w:fill="auto"/>
            <w:vAlign w:val="center"/>
          </w:tcPr>
          <w:p w14:paraId="21D738AE">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74F659">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79953">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743" w:type="dxa"/>
            <w:tcBorders>
              <w:top w:val="single" w:color="000000" w:sz="4" w:space="0"/>
              <w:left w:val="nil"/>
              <w:bottom w:val="single" w:color="000000" w:sz="4" w:space="0"/>
              <w:right w:val="single" w:color="000000" w:sz="4" w:space="0"/>
            </w:tcBorders>
            <w:shd w:val="clear" w:color="auto" w:fill="auto"/>
            <w:vAlign w:val="center"/>
          </w:tcPr>
          <w:p w14:paraId="4E57DC5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新能源汽车概论</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C9895">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20BFF">
            <w:pP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31EE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7355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36</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F088B">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72</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35DC6">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DA81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9482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17C1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B2C6D">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73E95">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E5A75">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41ED9">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165EC">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8A2D7">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5385A">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45C08">
            <w:pPr>
              <w:jc w:val="center"/>
            </w:pPr>
          </w:p>
        </w:tc>
      </w:tr>
      <w:tr w14:paraId="042A3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1" w:hRule="atLeast"/>
          <w:jc w:val="center"/>
        </w:trPr>
        <w:tc>
          <w:tcPr>
            <w:tcW w:w="270" w:type="dxa"/>
            <w:vMerge w:val="continue"/>
            <w:tcBorders>
              <w:top w:val="nil"/>
              <w:left w:val="single" w:color="000000" w:sz="4" w:space="0"/>
              <w:bottom w:val="nil"/>
              <w:right w:val="nil"/>
            </w:tcBorders>
            <w:shd w:val="clear" w:color="auto" w:fill="auto"/>
            <w:vAlign w:val="center"/>
          </w:tcPr>
          <w:p w14:paraId="6FDFE402">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FA1DC2">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83AF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743" w:type="dxa"/>
            <w:tcBorders>
              <w:top w:val="single" w:color="000000" w:sz="4" w:space="0"/>
              <w:left w:val="nil"/>
              <w:bottom w:val="single" w:color="000000" w:sz="4" w:space="0"/>
              <w:right w:val="single" w:color="000000" w:sz="4" w:space="0"/>
            </w:tcBorders>
            <w:shd w:val="clear" w:color="auto" w:fill="auto"/>
            <w:vAlign w:val="center"/>
          </w:tcPr>
          <w:p w14:paraId="70CEC24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新能源汽车电力电子基础</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1BE3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0B0A4">
            <w:pP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A14D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72</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6FC9A">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72</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27AAE">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144</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1A77">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8</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D2CAD">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209D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06C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38DA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63B4B">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DE248">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D0C55">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96AB5">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A2468">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4FC52">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57FFD">
            <w:pPr>
              <w:jc w:val="center"/>
            </w:pPr>
          </w:p>
        </w:tc>
      </w:tr>
      <w:tr w14:paraId="6EB800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70" w:type="dxa"/>
            <w:vMerge w:val="continue"/>
            <w:tcBorders>
              <w:top w:val="nil"/>
              <w:left w:val="single" w:color="000000" w:sz="4" w:space="0"/>
              <w:bottom w:val="nil"/>
              <w:right w:val="nil"/>
            </w:tcBorders>
            <w:shd w:val="clear" w:color="auto" w:fill="auto"/>
            <w:vAlign w:val="center"/>
          </w:tcPr>
          <w:p w14:paraId="730B45FA">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6832B6">
            <w:pPr>
              <w:jc w:val="center"/>
              <w:rPr>
                <w:rFonts w:hint="eastAsia" w:asciiTheme="minorEastAsia" w:hAnsiTheme="minorEastAsia" w:eastAsiaTheme="minorEastAsia" w:cstheme="minorEastAsia"/>
                <w:i w:val="0"/>
                <w:iCs w:val="0"/>
                <w:color w:val="000000"/>
                <w:sz w:val="21"/>
                <w:szCs w:val="21"/>
                <w:u w:val="none"/>
              </w:rPr>
            </w:pPr>
          </w:p>
        </w:tc>
        <w:tc>
          <w:tcPr>
            <w:tcW w:w="2895"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05B0C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小计</w:t>
            </w:r>
          </w:p>
        </w:tc>
        <w:tc>
          <w:tcPr>
            <w:tcW w:w="4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DD8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162</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219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180</w:t>
            </w:r>
          </w:p>
        </w:tc>
        <w:tc>
          <w:tcPr>
            <w:tcW w:w="570" w:type="dxa"/>
            <w:tcBorders>
              <w:top w:val="single" w:color="000000" w:sz="4" w:space="0"/>
              <w:left w:val="nil"/>
              <w:bottom w:val="single" w:color="000000" w:sz="4" w:space="0"/>
              <w:right w:val="single" w:color="000000" w:sz="4" w:space="0"/>
            </w:tcBorders>
            <w:shd w:val="clear" w:color="auto" w:fill="auto"/>
            <w:vAlign w:val="center"/>
          </w:tcPr>
          <w:p w14:paraId="7F9489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342</w:t>
            </w:r>
          </w:p>
        </w:tc>
        <w:tc>
          <w:tcPr>
            <w:tcW w:w="502" w:type="dxa"/>
            <w:tcBorders>
              <w:top w:val="single" w:color="000000" w:sz="4" w:space="0"/>
              <w:left w:val="nil"/>
              <w:bottom w:val="single" w:color="000000" w:sz="4" w:space="0"/>
              <w:right w:val="single" w:color="000000" w:sz="4" w:space="0"/>
            </w:tcBorders>
            <w:shd w:val="clear" w:color="auto" w:fill="auto"/>
            <w:vAlign w:val="center"/>
          </w:tcPr>
          <w:p w14:paraId="19172FF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19</w:t>
            </w:r>
          </w:p>
        </w:tc>
        <w:tc>
          <w:tcPr>
            <w:tcW w:w="869" w:type="dxa"/>
            <w:gridSpan w:val="2"/>
            <w:tcBorders>
              <w:top w:val="single" w:color="000000" w:sz="4" w:space="0"/>
              <w:left w:val="nil"/>
              <w:bottom w:val="single" w:color="000000" w:sz="4" w:space="0"/>
              <w:right w:val="single" w:color="000000" w:sz="4" w:space="0"/>
            </w:tcBorders>
            <w:shd w:val="clear" w:color="auto" w:fill="auto"/>
            <w:vAlign w:val="center"/>
          </w:tcPr>
          <w:p w14:paraId="760D94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12</w:t>
            </w:r>
          </w:p>
        </w:tc>
        <w:tc>
          <w:tcPr>
            <w:tcW w:w="869" w:type="dxa"/>
            <w:gridSpan w:val="2"/>
            <w:tcBorders>
              <w:top w:val="single" w:color="000000" w:sz="4" w:space="0"/>
              <w:left w:val="nil"/>
              <w:bottom w:val="single" w:color="000000" w:sz="4" w:space="0"/>
              <w:right w:val="single" w:color="000000" w:sz="4" w:space="0"/>
            </w:tcBorders>
            <w:shd w:val="clear" w:color="auto" w:fill="auto"/>
            <w:vAlign w:val="center"/>
          </w:tcPr>
          <w:p w14:paraId="70DB73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7</w:t>
            </w:r>
          </w:p>
        </w:tc>
        <w:tc>
          <w:tcPr>
            <w:tcW w:w="869" w:type="dxa"/>
            <w:gridSpan w:val="2"/>
            <w:tcBorders>
              <w:top w:val="single" w:color="000000" w:sz="4" w:space="0"/>
              <w:left w:val="nil"/>
              <w:bottom w:val="single" w:color="000000" w:sz="4" w:space="0"/>
              <w:right w:val="single" w:color="000000" w:sz="4" w:space="0"/>
            </w:tcBorders>
            <w:shd w:val="clear" w:color="auto" w:fill="auto"/>
            <w:vAlign w:val="center"/>
          </w:tcPr>
          <w:p w14:paraId="33DF164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870" w:type="dxa"/>
            <w:gridSpan w:val="2"/>
            <w:tcBorders>
              <w:top w:val="single" w:color="000000" w:sz="4" w:space="0"/>
              <w:left w:val="nil"/>
              <w:bottom w:val="single" w:color="000000" w:sz="4" w:space="0"/>
              <w:right w:val="single" w:color="000000" w:sz="4" w:space="0"/>
            </w:tcBorders>
            <w:shd w:val="clear" w:color="auto" w:fill="auto"/>
            <w:vAlign w:val="center"/>
          </w:tcPr>
          <w:p w14:paraId="2C8489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869" w:type="dxa"/>
            <w:gridSpan w:val="2"/>
            <w:tcBorders>
              <w:top w:val="single" w:color="000000" w:sz="4" w:space="0"/>
              <w:left w:val="nil"/>
              <w:bottom w:val="single" w:color="000000" w:sz="4" w:space="0"/>
              <w:right w:val="single" w:color="000000" w:sz="4" w:space="0"/>
            </w:tcBorders>
            <w:shd w:val="clear" w:color="auto" w:fill="auto"/>
            <w:vAlign w:val="center"/>
          </w:tcPr>
          <w:p w14:paraId="7972C2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5BBBE">
            <w:pPr>
              <w:jc w:val="center"/>
              <w:rPr>
                <w:rFonts w:hint="eastAsia" w:asciiTheme="minorEastAsia" w:hAnsiTheme="minorEastAsia" w:eastAsiaTheme="minorEastAsia" w:cstheme="minorEastAsia"/>
                <w:i w:val="0"/>
                <w:iCs w:val="0"/>
                <w:color w:val="000000"/>
                <w:sz w:val="21"/>
                <w:szCs w:val="21"/>
                <w:u w:val="none"/>
              </w:rPr>
            </w:pPr>
          </w:p>
        </w:tc>
      </w:tr>
      <w:tr w14:paraId="22571A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270" w:type="dxa"/>
            <w:vMerge w:val="continue"/>
            <w:tcBorders>
              <w:top w:val="nil"/>
              <w:left w:val="single" w:color="000000" w:sz="4" w:space="0"/>
              <w:bottom w:val="nil"/>
              <w:right w:val="nil"/>
            </w:tcBorders>
            <w:shd w:val="clear" w:color="auto" w:fill="auto"/>
            <w:vAlign w:val="center"/>
          </w:tcPr>
          <w:p w14:paraId="01C4A12D">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restart"/>
            <w:tcBorders>
              <w:top w:val="single" w:color="000000" w:sz="4" w:space="0"/>
              <w:left w:val="single" w:color="000000" w:sz="4" w:space="0"/>
              <w:bottom w:val="nil"/>
              <w:right w:val="single" w:color="000000" w:sz="4" w:space="0"/>
            </w:tcBorders>
            <w:shd w:val="clear" w:color="auto" w:fill="auto"/>
            <w:vAlign w:val="center"/>
          </w:tcPr>
          <w:p w14:paraId="122820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专业核心课</w:t>
            </w:r>
          </w:p>
        </w:tc>
        <w:tc>
          <w:tcPr>
            <w:tcW w:w="338" w:type="dxa"/>
            <w:tcBorders>
              <w:top w:val="single" w:color="000000" w:sz="4" w:space="0"/>
              <w:left w:val="single" w:color="000000" w:sz="4" w:space="0"/>
              <w:bottom w:val="nil"/>
              <w:right w:val="single" w:color="000000" w:sz="4" w:space="0"/>
            </w:tcBorders>
            <w:shd w:val="clear" w:color="auto" w:fill="auto"/>
            <w:vAlign w:val="center"/>
          </w:tcPr>
          <w:p w14:paraId="6B374B3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761555">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新能源汽车维护</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A4EA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D5173">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F085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1B248E88">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72</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2DA4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108</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1F19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6</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33040">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5D77B">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9BF24">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BB8AD">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B5E90">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1B43B">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1C2DC">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0294C">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F7E93">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48630">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2D3A0">
            <w:pPr>
              <w:jc w:val="center"/>
            </w:pPr>
          </w:p>
        </w:tc>
      </w:tr>
      <w:tr w14:paraId="244C4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70" w:type="dxa"/>
            <w:vMerge w:val="continue"/>
            <w:tcBorders>
              <w:top w:val="nil"/>
              <w:left w:val="single" w:color="000000" w:sz="4" w:space="0"/>
              <w:bottom w:val="nil"/>
              <w:right w:val="nil"/>
            </w:tcBorders>
            <w:shd w:val="clear" w:color="auto" w:fill="auto"/>
            <w:vAlign w:val="center"/>
          </w:tcPr>
          <w:p w14:paraId="6D51459A">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7DE44291">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7BF4C91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3915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新能源汽车动力蓄电池系统构造与检修</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2C60D">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28253">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D99F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09C245EB">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36</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F05A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72</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C9FBA">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8F51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E1772">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71D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3D23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899B3">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9F493A">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8508A">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951D6">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D0951">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A928C">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1A4C3">
            <w:pPr>
              <w:jc w:val="center"/>
            </w:pPr>
          </w:p>
        </w:tc>
      </w:tr>
      <w:tr w14:paraId="4930C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9" w:hRule="atLeast"/>
          <w:jc w:val="center"/>
        </w:trPr>
        <w:tc>
          <w:tcPr>
            <w:tcW w:w="270" w:type="dxa"/>
            <w:vMerge w:val="continue"/>
            <w:tcBorders>
              <w:top w:val="nil"/>
              <w:left w:val="single" w:color="000000" w:sz="4" w:space="0"/>
              <w:bottom w:val="nil"/>
              <w:right w:val="nil"/>
            </w:tcBorders>
            <w:shd w:val="clear" w:color="auto" w:fill="auto"/>
            <w:vAlign w:val="center"/>
          </w:tcPr>
          <w:p w14:paraId="2F920B28">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47CC314A">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2622A81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0E8A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新能源汽车驱动系统构造与检修</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FC704">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3A663">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236F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289C19B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72</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B662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108</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C48E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6</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72ECF">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46B9B">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07898">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9E5D7">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D4DE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1D9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C09FD">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A51C7">
            <w:pPr>
              <w:jc w:val="center"/>
              <w:rPr>
                <w:rFonts w:hint="eastAsia" w:asciiTheme="minorEastAsia" w:hAnsiTheme="minorEastAsia" w:eastAsiaTheme="minorEastAsia" w:cstheme="minorEastAsia"/>
                <w:i w:val="0"/>
                <w:iCs w:val="0"/>
                <w:color w:val="000000"/>
                <w:sz w:val="21"/>
                <w:szCs w:val="21"/>
                <w:u w:val="none"/>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E74D4">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567B1">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B4015">
            <w:pPr>
              <w:jc w:val="center"/>
            </w:pPr>
          </w:p>
        </w:tc>
      </w:tr>
      <w:tr w14:paraId="13059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70" w:type="dxa"/>
            <w:vMerge w:val="continue"/>
            <w:tcBorders>
              <w:top w:val="nil"/>
              <w:left w:val="single" w:color="000000" w:sz="4" w:space="0"/>
              <w:bottom w:val="nil"/>
              <w:right w:val="nil"/>
            </w:tcBorders>
            <w:shd w:val="clear" w:color="auto" w:fill="auto"/>
            <w:vAlign w:val="center"/>
          </w:tcPr>
          <w:p w14:paraId="698D6241">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061F5A38">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46889D2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9B017">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混合动力汽车发动机构造与检修</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92E1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BAB9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DEB9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54</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13008B4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36</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3817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90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92BC6">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5</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19BE7">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7D1F6">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8CB70">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84BDB">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5D9C9">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90EA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2709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246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3D9F8">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F03C1">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F9D55">
            <w:pPr>
              <w:jc w:val="center"/>
            </w:pPr>
          </w:p>
        </w:tc>
      </w:tr>
      <w:tr w14:paraId="6B4F8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70" w:type="dxa"/>
            <w:vMerge w:val="continue"/>
            <w:tcBorders>
              <w:top w:val="nil"/>
              <w:left w:val="single" w:color="000000" w:sz="4" w:space="0"/>
              <w:bottom w:val="nil"/>
              <w:right w:val="nil"/>
            </w:tcBorders>
            <w:shd w:val="clear" w:color="auto" w:fill="auto"/>
            <w:vAlign w:val="center"/>
          </w:tcPr>
          <w:p w14:paraId="6F044BE4">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5FF46DBA">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148E728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69CBE">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新能源汽车底盘构造与检 修</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12541">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D828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A0F9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54</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50F0328A">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72</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CFDDE">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126</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68A35">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7</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0D041">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91282">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6F7A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C2B40">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C4E07">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E93AE">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78C1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571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4</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B4110">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E493C">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9F178">
            <w:pPr>
              <w:jc w:val="center"/>
            </w:pPr>
          </w:p>
        </w:tc>
      </w:tr>
      <w:tr w14:paraId="20547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70" w:type="dxa"/>
            <w:vMerge w:val="continue"/>
            <w:tcBorders>
              <w:top w:val="nil"/>
              <w:left w:val="single" w:color="000000" w:sz="4" w:space="0"/>
              <w:bottom w:val="nil"/>
              <w:right w:val="nil"/>
            </w:tcBorders>
            <w:shd w:val="clear" w:color="auto" w:fill="auto"/>
            <w:vAlign w:val="center"/>
          </w:tcPr>
          <w:p w14:paraId="3E30D003">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38D618E7">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2BFFF46D">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6</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24207">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新能源汽车电气系统构造与检修</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DE1E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7AC15">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0BC0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72</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1CCF29E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162</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945ED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234</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FF29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13</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D9B50">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85044">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1380B">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9DD95">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0F064">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3B41">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809C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71AC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5</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B073F">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00DE2">
            <w:pPr>
              <w:jc w:val="center"/>
              <w:rPr>
                <w:rFonts w:hint="eastAsia" w:asciiTheme="minorEastAsia" w:hAnsiTheme="minorEastAsia" w:eastAsiaTheme="minorEastAsia" w:cstheme="minorEastAsia"/>
                <w:i w:val="0"/>
                <w:iCs w:val="0"/>
                <w:color w:val="000000"/>
                <w:sz w:val="21"/>
                <w:szCs w:val="21"/>
                <w:u w:val="none"/>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DD579">
            <w:pPr>
              <w:jc w:val="center"/>
            </w:pPr>
          </w:p>
        </w:tc>
      </w:tr>
      <w:tr w14:paraId="2A833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70" w:type="dxa"/>
            <w:vMerge w:val="continue"/>
            <w:tcBorders>
              <w:top w:val="nil"/>
              <w:left w:val="single" w:color="000000" w:sz="4" w:space="0"/>
              <w:bottom w:val="nil"/>
              <w:right w:val="nil"/>
            </w:tcBorders>
            <w:shd w:val="clear" w:color="auto" w:fill="auto"/>
            <w:vAlign w:val="center"/>
          </w:tcPr>
          <w:p w14:paraId="63AB291A">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30B5F155">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4CAABB7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7</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EA305">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新能源汽车充电桩系统构造与检修</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A0D34">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2333B">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68DC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38256C7D">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108</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907C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144</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DA5BA">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8</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A65D1">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B8ACE">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2FD0C">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E46B8">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D3A53">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B92DE">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14AD8">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7E798">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BDFE">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471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6</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38506">
            <w:pPr>
              <w:jc w:val="center"/>
            </w:pPr>
          </w:p>
        </w:tc>
      </w:tr>
      <w:tr w14:paraId="72AFA7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jc w:val="center"/>
        </w:trPr>
        <w:tc>
          <w:tcPr>
            <w:tcW w:w="270" w:type="dxa"/>
            <w:vMerge w:val="continue"/>
            <w:tcBorders>
              <w:top w:val="nil"/>
              <w:left w:val="single" w:color="000000" w:sz="4" w:space="0"/>
              <w:bottom w:val="nil"/>
              <w:right w:val="nil"/>
            </w:tcBorders>
            <w:shd w:val="clear" w:color="auto" w:fill="auto"/>
            <w:vAlign w:val="center"/>
          </w:tcPr>
          <w:p w14:paraId="70C165DC">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7B727D8C">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213A2056"/>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8AE7C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小计</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7E3D7">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EFD1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324</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CD6F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558</w:t>
            </w:r>
          </w:p>
        </w:tc>
        <w:tc>
          <w:tcPr>
            <w:tcW w:w="570" w:type="dxa"/>
            <w:tcBorders>
              <w:top w:val="single" w:color="000000" w:sz="4" w:space="0"/>
              <w:left w:val="single" w:color="000000" w:sz="4" w:space="0"/>
              <w:bottom w:val="single" w:color="000000" w:sz="4" w:space="0"/>
              <w:right w:val="nil"/>
            </w:tcBorders>
            <w:shd w:val="clear" w:color="auto" w:fill="auto"/>
            <w:vAlign w:val="center"/>
          </w:tcPr>
          <w:p w14:paraId="6DAE13A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882</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A9CF7">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49</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69CC0D">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5F32CD">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071BE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18</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57D79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19</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2CCE76">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8</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CD64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r>
      <w:tr w14:paraId="1F8DB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70" w:type="dxa"/>
            <w:vMerge w:val="continue"/>
            <w:tcBorders>
              <w:top w:val="nil"/>
              <w:left w:val="single" w:color="000000" w:sz="4" w:space="0"/>
              <w:bottom w:val="nil"/>
              <w:right w:val="nil"/>
            </w:tcBorders>
            <w:shd w:val="clear" w:color="auto" w:fill="auto"/>
            <w:vAlign w:val="center"/>
          </w:tcPr>
          <w:p w14:paraId="5E59802D">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restart"/>
            <w:tcBorders>
              <w:top w:val="single" w:color="000000" w:sz="4" w:space="0"/>
              <w:left w:val="single" w:color="000000" w:sz="4" w:space="0"/>
              <w:bottom w:val="nil"/>
              <w:right w:val="single" w:color="000000" w:sz="4" w:space="0"/>
            </w:tcBorders>
            <w:shd w:val="clear" w:color="auto" w:fill="auto"/>
            <w:vAlign w:val="center"/>
          </w:tcPr>
          <w:p w14:paraId="385D2123">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专业选修课</w:t>
            </w:r>
          </w:p>
        </w:tc>
        <w:tc>
          <w:tcPr>
            <w:tcW w:w="338" w:type="dxa"/>
            <w:tcBorders>
              <w:top w:val="single" w:color="000000" w:sz="4" w:space="0"/>
              <w:left w:val="single" w:color="000000" w:sz="4" w:space="0"/>
              <w:bottom w:val="nil"/>
              <w:right w:val="single" w:color="000000" w:sz="4" w:space="0"/>
            </w:tcBorders>
            <w:shd w:val="clear" w:color="auto" w:fill="auto"/>
            <w:vAlign w:val="center"/>
          </w:tcPr>
          <w:p w14:paraId="3C036413">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9B2D6">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汽车营销</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2277D">
            <w:pPr>
              <w:jc w:val="center"/>
              <w:rPr>
                <w:rFonts w:hint="default" w:ascii="Arial" w:hAnsi="Arial" w:eastAsia="宋体" w:cs="Arial"/>
                <w:i w:val="0"/>
                <w:iCs w:val="0"/>
                <w:snapToGrid w:val="0"/>
                <w:color w:val="000000"/>
                <w:kern w:val="0"/>
                <w:sz w:val="18"/>
                <w:szCs w:val="18"/>
                <w:u w:val="none"/>
                <w:lang w:val="en-US" w:eastAsia="zh-CN" w:bidi="ar"/>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38CC0">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40AF3">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AEC5A">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90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7837A">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126</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11EB7">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7</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3D2F2">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78073">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82EEA">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22106">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D4516">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BB0B3">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E90BF">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75F4C"/>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B0E37">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5CB4E">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5</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DCFDA">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r>
      <w:tr w14:paraId="29E72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70" w:type="dxa"/>
            <w:vMerge w:val="continue"/>
            <w:tcBorders>
              <w:top w:val="nil"/>
              <w:left w:val="single" w:color="000000" w:sz="4" w:space="0"/>
              <w:bottom w:val="nil"/>
              <w:right w:val="nil"/>
            </w:tcBorders>
            <w:shd w:val="clear" w:color="auto" w:fill="auto"/>
            <w:vAlign w:val="center"/>
          </w:tcPr>
          <w:p w14:paraId="05411681">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56B2CA0E">
            <w:pPr>
              <w:jc w:val="center"/>
              <w:rPr>
                <w:rFonts w:hint="eastAsia" w:ascii="宋体" w:hAnsi="宋体" w:eastAsia="宋体" w:cs="宋体"/>
                <w:i w:val="0"/>
                <w:iCs w:val="0"/>
                <w:snapToGrid w:val="0"/>
                <w:color w:val="000000"/>
                <w:kern w:val="0"/>
                <w:sz w:val="18"/>
                <w:szCs w:val="18"/>
                <w:u w:val="none"/>
                <w:lang w:val="en-US" w:eastAsia="zh-CN" w:bidi="ar"/>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1DF1CA9B">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9096E">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智能新能源汽车</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8F4748">
            <w:pPr>
              <w:jc w:val="center"/>
              <w:rPr>
                <w:rFonts w:hint="default" w:ascii="Arial" w:hAnsi="Arial" w:eastAsia="宋体" w:cs="Arial"/>
                <w:i w:val="0"/>
                <w:iCs w:val="0"/>
                <w:snapToGrid w:val="0"/>
                <w:color w:val="000000"/>
                <w:kern w:val="0"/>
                <w:sz w:val="18"/>
                <w:szCs w:val="18"/>
                <w:u w:val="none"/>
                <w:lang w:val="en-US" w:eastAsia="zh-CN" w:bidi="ar"/>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4A64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4D1CA">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36</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BDACF">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72</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B1B12">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108</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2E75F">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6</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44FB3">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BACF6">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F5C1B">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56267">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5775F">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40C14">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06825">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318D6">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63C25">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w:t>
            </w: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0E264">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4</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EAC3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r>
      <w:tr w14:paraId="41DC8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70" w:type="dxa"/>
            <w:vMerge w:val="continue"/>
            <w:tcBorders>
              <w:top w:val="nil"/>
              <w:left w:val="single" w:color="000000" w:sz="4" w:space="0"/>
              <w:bottom w:val="nil"/>
              <w:right w:val="nil"/>
            </w:tcBorders>
            <w:shd w:val="clear" w:color="auto" w:fill="auto"/>
            <w:vAlign w:val="center"/>
          </w:tcPr>
          <w:p w14:paraId="21C85512">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nil"/>
              <w:right w:val="single" w:color="000000" w:sz="4" w:space="0"/>
            </w:tcBorders>
            <w:shd w:val="clear" w:color="auto" w:fill="auto"/>
            <w:vAlign w:val="center"/>
          </w:tcPr>
          <w:p w14:paraId="26835B7F">
            <w:pPr>
              <w:jc w:val="center"/>
              <w:rPr>
                <w:rFonts w:hint="eastAsia" w:ascii="宋体" w:hAnsi="宋体" w:eastAsia="宋体" w:cs="宋体"/>
                <w:i w:val="0"/>
                <w:iCs w:val="0"/>
                <w:snapToGrid w:val="0"/>
                <w:color w:val="000000"/>
                <w:kern w:val="0"/>
                <w:sz w:val="18"/>
                <w:szCs w:val="18"/>
                <w:u w:val="none"/>
                <w:lang w:val="en-US" w:eastAsia="zh-CN" w:bidi="ar"/>
              </w:rPr>
            </w:pPr>
          </w:p>
        </w:tc>
        <w:tc>
          <w:tcPr>
            <w:tcW w:w="338" w:type="dxa"/>
            <w:tcBorders>
              <w:top w:val="single" w:color="000000" w:sz="4" w:space="0"/>
              <w:left w:val="single" w:color="000000" w:sz="4" w:space="0"/>
              <w:bottom w:val="nil"/>
              <w:right w:val="single" w:color="000000" w:sz="4" w:space="0"/>
            </w:tcBorders>
            <w:shd w:val="clear" w:color="auto" w:fill="auto"/>
            <w:vAlign w:val="center"/>
          </w:tcPr>
          <w:p w14:paraId="54F58DD8">
            <w:pPr>
              <w:rPr>
                <w:rFonts w:hint="eastAsia" w:ascii="宋体" w:hAnsi="宋体" w:eastAsia="宋体" w:cs="宋体"/>
                <w:i w:val="0"/>
                <w:iCs w:val="0"/>
                <w:snapToGrid w:val="0"/>
                <w:color w:val="000000"/>
                <w:kern w:val="0"/>
                <w:sz w:val="18"/>
                <w:szCs w:val="18"/>
                <w:u w:val="none"/>
                <w:lang w:val="en-US" w:eastAsia="zh-CN" w:bidi="ar"/>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7F1617">
            <w:pPr>
              <w:keepNext w:val="0"/>
              <w:keepLines w:val="0"/>
              <w:widowControl/>
              <w:suppressLineNumbers w:val="0"/>
              <w:jc w:val="center"/>
              <w:textAlignment w:val="center"/>
              <w:rPr>
                <w:rFonts w:hint="default" w:ascii="Arial" w:hAnsi="Arial" w:eastAsia="宋体" w:cs="Arial"/>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小计</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1C801">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FE912">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72</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E7D56">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162</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9EF7A">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234</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C5169">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13</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F0B13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DF77F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9BA2A">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23D9F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1731AD">
            <w:pPr>
              <w:keepNext w:val="0"/>
              <w:keepLines w:val="0"/>
              <w:widowControl/>
              <w:suppressLineNumbers w:val="0"/>
              <w:jc w:val="center"/>
              <w:textAlignment w:val="center"/>
              <w:rPr>
                <w:rFonts w:hint="eastAsia" w:ascii="宋体" w:hAnsi="宋体" w:eastAsia="宋体" w:cs="宋体"/>
                <w:i w:val="0"/>
                <w:iCs w:val="0"/>
                <w:snapToGrid w:val="0"/>
                <w:color w:val="000000"/>
                <w:kern w:val="0"/>
                <w:sz w:val="18"/>
                <w:szCs w:val="18"/>
                <w:u w:val="none"/>
                <w:lang w:val="en-US" w:eastAsia="zh-CN" w:bidi="ar"/>
              </w:rPr>
            </w:pPr>
            <w:r>
              <w:rPr>
                <w:rFonts w:hint="eastAsia" w:ascii="宋体" w:hAnsi="宋体" w:eastAsia="宋体" w:cs="宋体"/>
                <w:i w:val="0"/>
                <w:iCs w:val="0"/>
                <w:snapToGrid w:val="0"/>
                <w:color w:val="000000"/>
                <w:kern w:val="0"/>
                <w:sz w:val="18"/>
                <w:szCs w:val="18"/>
                <w:u w:val="none"/>
                <w:lang w:val="en-US" w:eastAsia="zh-CN" w:bidi="ar"/>
              </w:rPr>
              <w:t>13</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5A08A">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r>
      <w:tr w14:paraId="22BF5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270" w:type="dxa"/>
            <w:vMerge w:val="continue"/>
            <w:tcBorders>
              <w:top w:val="nil"/>
              <w:left w:val="single" w:color="000000" w:sz="4" w:space="0"/>
              <w:bottom w:val="nil"/>
              <w:right w:val="nil"/>
            </w:tcBorders>
            <w:shd w:val="clear" w:color="auto" w:fill="auto"/>
            <w:vAlign w:val="center"/>
          </w:tcPr>
          <w:p w14:paraId="4515BBA4">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restart"/>
            <w:tcBorders>
              <w:top w:val="single" w:color="000000" w:sz="4" w:space="0"/>
              <w:left w:val="single" w:color="000000" w:sz="4" w:space="0"/>
              <w:bottom w:val="nil"/>
              <w:right w:val="single" w:color="000000" w:sz="4" w:space="0"/>
            </w:tcBorders>
            <w:shd w:val="clear" w:color="auto" w:fill="auto"/>
            <w:vAlign w:val="center"/>
          </w:tcPr>
          <w:p w14:paraId="16FEC3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专业实践课</w:t>
            </w:r>
          </w:p>
        </w:tc>
        <w:tc>
          <w:tcPr>
            <w:tcW w:w="338" w:type="dxa"/>
            <w:tcBorders>
              <w:top w:val="single" w:color="000000" w:sz="4" w:space="0"/>
              <w:left w:val="single" w:color="000000" w:sz="4" w:space="0"/>
              <w:bottom w:val="nil"/>
              <w:right w:val="single" w:color="000000" w:sz="4" w:space="0"/>
            </w:tcBorders>
            <w:shd w:val="clear" w:color="auto" w:fill="auto"/>
            <w:vAlign w:val="center"/>
          </w:tcPr>
          <w:p w14:paraId="4AC71AF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F3FF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1+X考证</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ED95E">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9AD69">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504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0</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17C5A">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120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AD14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120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F9F94">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DEE9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A2ABC">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75709">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9C958">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2FE91">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CDA32">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41A48">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39EEE">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2D6FC">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810EB">
            <w:pPr>
              <w:jc w:val="cente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923AD">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4周</w:t>
            </w:r>
          </w:p>
        </w:tc>
      </w:tr>
      <w:tr w14:paraId="34C7ED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70" w:type="dxa"/>
            <w:vMerge w:val="continue"/>
            <w:tcBorders>
              <w:top w:val="nil"/>
              <w:left w:val="single" w:color="000000" w:sz="4" w:space="0"/>
              <w:bottom w:val="nil"/>
              <w:right w:val="nil"/>
            </w:tcBorders>
            <w:shd w:val="clear" w:color="auto" w:fill="auto"/>
            <w:vAlign w:val="center"/>
          </w:tcPr>
          <w:p w14:paraId="1E8ABD3A">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207989">
            <w:pPr>
              <w:jc w:val="center"/>
              <w:rPr>
                <w:rFonts w:hint="eastAsia" w:asciiTheme="minorEastAsia" w:hAnsiTheme="minorEastAsia" w:eastAsiaTheme="minorEastAsia" w:cstheme="minorEastAsia"/>
                <w:i w:val="0"/>
                <w:iCs w:val="0"/>
                <w:color w:val="000000"/>
                <w:sz w:val="21"/>
                <w:szCs w:val="21"/>
                <w:u w:val="none"/>
                <w:lang w:eastAsia="zh-CN"/>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38314">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2</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AD817">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综合实训</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5E7E0">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AC77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9F12C">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06BCB54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120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BB669">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120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E0407">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4</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37CB7">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813A1">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E07AA">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06F38">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9B829">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28EFB">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810DB">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74267">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2385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3CC11">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269D2">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4周</w:t>
            </w:r>
          </w:p>
        </w:tc>
      </w:tr>
      <w:tr w14:paraId="2C9A32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270" w:type="dxa"/>
            <w:vMerge w:val="continue"/>
            <w:tcBorders>
              <w:top w:val="nil"/>
              <w:left w:val="single" w:color="000000" w:sz="4" w:space="0"/>
              <w:bottom w:val="nil"/>
              <w:right w:val="nil"/>
            </w:tcBorders>
            <w:shd w:val="clear" w:color="auto" w:fill="auto"/>
            <w:vAlign w:val="center"/>
          </w:tcPr>
          <w:p w14:paraId="4173FABB">
            <w:pPr>
              <w:jc w:val="center"/>
              <w:rPr>
                <w:rFonts w:hint="eastAsia" w:asciiTheme="minorEastAsia" w:hAnsiTheme="minorEastAsia" w:eastAsiaTheme="minorEastAsia" w:cstheme="minorEastAsia"/>
                <w:i w:val="0"/>
                <w:iCs w:val="0"/>
                <w:color w:val="000000"/>
                <w:sz w:val="21"/>
                <w:szCs w:val="21"/>
                <w:u w:val="none"/>
              </w:rPr>
            </w:pPr>
          </w:p>
        </w:tc>
        <w:tc>
          <w:tcPr>
            <w:tcW w:w="2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81F00C">
            <w:pPr>
              <w:jc w:val="center"/>
              <w:rPr>
                <w:rFonts w:hint="eastAsia" w:asciiTheme="minorEastAsia" w:hAnsiTheme="minorEastAsia" w:eastAsiaTheme="minorEastAsia" w:cstheme="minorEastAsia"/>
                <w:i w:val="0"/>
                <w:iCs w:val="0"/>
                <w:color w:val="000000"/>
                <w:sz w:val="21"/>
                <w:szCs w:val="21"/>
                <w:u w:val="none"/>
              </w:rPr>
            </w:pPr>
          </w:p>
        </w:tc>
        <w:tc>
          <w:tcPr>
            <w:tcW w:w="3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BDC3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w:t>
            </w:r>
          </w:p>
        </w:tc>
        <w:tc>
          <w:tcPr>
            <w:tcW w:w="17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209A2">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岗位实习</w:t>
            </w: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0D825">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4DCC6">
            <w:pPr>
              <w:keepNext w:val="0"/>
              <w:keepLines w:val="0"/>
              <w:widowControl/>
              <w:suppressLineNumbers w:val="0"/>
              <w:jc w:val="center"/>
              <w:textAlignment w:val="center"/>
            </w:pPr>
            <w:r>
              <w:rPr>
                <w:rFonts w:hint="default" w:ascii="Arial" w:hAnsi="Arial" w:eastAsia="宋体" w:cs="Arial"/>
                <w:i w:val="0"/>
                <w:iCs w:val="0"/>
                <w:snapToGrid w:val="0"/>
                <w:color w:val="000000"/>
                <w:kern w:val="0"/>
                <w:sz w:val="18"/>
                <w:szCs w:val="18"/>
                <w:u w:val="none"/>
                <w:lang w:val="en-US" w:eastAsia="zh-CN" w:bidi="ar"/>
              </w:rPr>
              <w:t>√</w:t>
            </w:r>
          </w:p>
        </w:tc>
        <w:tc>
          <w:tcPr>
            <w:tcW w:w="4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ED3B5">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0</w:t>
            </w:r>
          </w:p>
        </w:tc>
        <w:tc>
          <w:tcPr>
            <w:tcW w:w="5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F3B0B">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360</w:t>
            </w:r>
          </w:p>
        </w:tc>
        <w:tc>
          <w:tcPr>
            <w:tcW w:w="5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D6ACF">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360</w:t>
            </w:r>
          </w:p>
        </w:tc>
        <w:tc>
          <w:tcPr>
            <w:tcW w:w="50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C58B1">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12</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412FB">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6CF28">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1F9EF">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821DE">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11B0D">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CF4C5">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0AED1">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CA18E">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55A7A">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ECA3FD">
            <w:pPr>
              <w:jc w:val="cente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76A0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12周</w:t>
            </w:r>
          </w:p>
        </w:tc>
      </w:tr>
      <w:tr w14:paraId="31636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jc w:val="center"/>
        </w:trPr>
        <w:tc>
          <w:tcPr>
            <w:tcW w:w="270" w:type="dxa"/>
            <w:vMerge w:val="continue"/>
            <w:tcBorders>
              <w:top w:val="nil"/>
              <w:left w:val="single" w:color="000000" w:sz="4" w:space="0"/>
              <w:bottom w:val="nil"/>
              <w:right w:val="nil"/>
            </w:tcBorders>
            <w:shd w:val="clear" w:color="auto" w:fill="auto"/>
            <w:vAlign w:val="center"/>
          </w:tcPr>
          <w:p w14:paraId="5CF576BF">
            <w:pPr>
              <w:jc w:val="center"/>
              <w:rPr>
                <w:rFonts w:hint="eastAsia" w:asciiTheme="minorEastAsia" w:hAnsiTheme="minorEastAsia" w:eastAsiaTheme="minorEastAsia" w:cstheme="minorEastAsia"/>
                <w:i w:val="0"/>
                <w:iCs w:val="0"/>
                <w:color w:val="000000"/>
                <w:sz w:val="21"/>
                <w:szCs w:val="21"/>
                <w:u w:val="none"/>
              </w:rPr>
            </w:pPr>
          </w:p>
        </w:tc>
        <w:tc>
          <w:tcPr>
            <w:tcW w:w="271" w:type="dxa"/>
            <w:tcBorders>
              <w:top w:val="single" w:color="000000" w:sz="4" w:space="0"/>
              <w:left w:val="single" w:color="000000" w:sz="4" w:space="0"/>
              <w:bottom w:val="single" w:color="auto" w:sz="4" w:space="0"/>
              <w:right w:val="single" w:color="000000" w:sz="4" w:space="0"/>
            </w:tcBorders>
            <w:shd w:val="clear" w:color="auto" w:fill="auto"/>
            <w:vAlign w:val="center"/>
          </w:tcPr>
          <w:p w14:paraId="443FD166">
            <w:pPr>
              <w:jc w:val="center"/>
            </w:pPr>
          </w:p>
        </w:tc>
        <w:tc>
          <w:tcPr>
            <w:tcW w:w="338" w:type="dxa"/>
            <w:tcBorders>
              <w:top w:val="single" w:color="000000" w:sz="4" w:space="0"/>
              <w:left w:val="single" w:color="000000" w:sz="4" w:space="0"/>
              <w:bottom w:val="single" w:color="auto" w:sz="4" w:space="0"/>
              <w:right w:val="single" w:color="000000" w:sz="4" w:space="0"/>
            </w:tcBorders>
            <w:shd w:val="clear" w:color="auto" w:fill="auto"/>
            <w:vAlign w:val="center"/>
          </w:tcPr>
          <w:p w14:paraId="7118A739">
            <w:pPr>
              <w:jc w:val="center"/>
            </w:pPr>
          </w:p>
        </w:tc>
        <w:tc>
          <w:tcPr>
            <w:tcW w:w="2150" w:type="dxa"/>
            <w:gridSpan w:val="2"/>
            <w:tcBorders>
              <w:top w:val="single" w:color="000000" w:sz="4" w:space="0"/>
              <w:left w:val="single" w:color="000000" w:sz="4" w:space="0"/>
              <w:bottom w:val="single" w:color="auto" w:sz="4" w:space="0"/>
              <w:right w:val="single" w:color="000000" w:sz="4" w:space="0"/>
            </w:tcBorders>
            <w:shd w:val="clear" w:color="auto" w:fill="auto"/>
            <w:vAlign w:val="center"/>
          </w:tcPr>
          <w:p w14:paraId="13497496">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小计</w:t>
            </w:r>
          </w:p>
        </w:tc>
        <w:tc>
          <w:tcPr>
            <w:tcW w:w="407" w:type="dxa"/>
            <w:tcBorders>
              <w:top w:val="single" w:color="000000" w:sz="4" w:space="0"/>
              <w:left w:val="single" w:color="000000" w:sz="4" w:space="0"/>
              <w:bottom w:val="single" w:color="auto" w:sz="4" w:space="0"/>
              <w:right w:val="single" w:color="000000" w:sz="4" w:space="0"/>
            </w:tcBorders>
            <w:shd w:val="clear" w:color="auto" w:fill="auto"/>
            <w:vAlign w:val="center"/>
          </w:tcPr>
          <w:p w14:paraId="7CA56696">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74" w:type="dxa"/>
            <w:tcBorders>
              <w:top w:val="single" w:color="000000" w:sz="4" w:space="0"/>
              <w:left w:val="single" w:color="000000" w:sz="4" w:space="0"/>
              <w:bottom w:val="single" w:color="auto" w:sz="4" w:space="0"/>
              <w:right w:val="single" w:color="000000" w:sz="4" w:space="0"/>
            </w:tcBorders>
            <w:shd w:val="clear" w:color="auto" w:fill="auto"/>
            <w:vAlign w:val="center"/>
          </w:tcPr>
          <w:p w14:paraId="554AEBE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0</w:t>
            </w:r>
          </w:p>
        </w:tc>
        <w:tc>
          <w:tcPr>
            <w:tcW w:w="542" w:type="dxa"/>
            <w:tcBorders>
              <w:top w:val="single" w:color="000000" w:sz="4" w:space="0"/>
              <w:left w:val="single" w:color="000000" w:sz="4" w:space="0"/>
              <w:bottom w:val="single" w:color="auto" w:sz="4" w:space="0"/>
              <w:right w:val="single" w:color="000000" w:sz="4" w:space="0"/>
            </w:tcBorders>
            <w:shd w:val="clear" w:color="auto" w:fill="auto"/>
            <w:vAlign w:val="center"/>
          </w:tcPr>
          <w:p w14:paraId="6949E6AF">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600</w:t>
            </w:r>
          </w:p>
        </w:tc>
        <w:tc>
          <w:tcPr>
            <w:tcW w:w="570" w:type="dxa"/>
            <w:tcBorders>
              <w:top w:val="single" w:color="000000" w:sz="4" w:space="0"/>
              <w:left w:val="single" w:color="000000" w:sz="4" w:space="0"/>
              <w:bottom w:val="single" w:color="auto" w:sz="4" w:space="0"/>
              <w:right w:val="nil"/>
            </w:tcBorders>
            <w:shd w:val="clear" w:color="auto" w:fill="auto"/>
            <w:vAlign w:val="center"/>
          </w:tcPr>
          <w:p w14:paraId="5D135EF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600</w:t>
            </w:r>
          </w:p>
        </w:tc>
        <w:tc>
          <w:tcPr>
            <w:tcW w:w="502" w:type="dxa"/>
            <w:tcBorders>
              <w:top w:val="single" w:color="000000" w:sz="4" w:space="0"/>
              <w:left w:val="single" w:color="000000" w:sz="4" w:space="0"/>
              <w:bottom w:val="single" w:color="auto" w:sz="4" w:space="0"/>
              <w:right w:val="single" w:color="000000" w:sz="4" w:space="0"/>
            </w:tcBorders>
            <w:shd w:val="clear" w:color="auto" w:fill="auto"/>
            <w:vAlign w:val="center"/>
          </w:tcPr>
          <w:p w14:paraId="691558A4">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20</w:t>
            </w: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93D07">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A6DE5">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154F68">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C289B">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AB855">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223EF">
            <w:pPr>
              <w:jc w:val="cente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FDED6">
            <w:pPr>
              <w:jc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E34BC">
            <w:pPr>
              <w:jc w:val="center"/>
            </w:pPr>
          </w:p>
        </w:tc>
        <w:tc>
          <w:tcPr>
            <w:tcW w:w="4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CC798">
            <w:pPr>
              <w:jc w:val="center"/>
              <w:rPr>
                <w:rFonts w:hint="eastAsia" w:asciiTheme="minorEastAsia" w:hAnsiTheme="minorEastAsia" w:eastAsiaTheme="minorEastAsia" w:cstheme="minorEastAsia"/>
                <w:i w:val="0"/>
                <w:iCs w:val="0"/>
                <w:color w:val="000000"/>
                <w:sz w:val="21"/>
                <w:szCs w:val="21"/>
                <w:u w:val="none"/>
              </w:rPr>
            </w:pPr>
          </w:p>
        </w:tc>
        <w:tc>
          <w:tcPr>
            <w:tcW w:w="4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2C4F8">
            <w:pPr>
              <w:jc w:val="center"/>
            </w:pP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23275">
            <w:pPr>
              <w:jc w:val="center"/>
            </w:pPr>
          </w:p>
        </w:tc>
      </w:tr>
      <w:tr w14:paraId="7423FD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270" w:type="dxa"/>
            <w:vMerge w:val="continue"/>
            <w:tcBorders>
              <w:top w:val="nil"/>
              <w:left w:val="single" w:color="000000" w:sz="4" w:space="0"/>
              <w:bottom w:val="nil"/>
              <w:right w:val="single" w:color="auto" w:sz="4" w:space="0"/>
            </w:tcBorders>
            <w:shd w:val="clear" w:color="auto" w:fill="auto"/>
            <w:vAlign w:val="center"/>
          </w:tcPr>
          <w:p w14:paraId="75EA26CB">
            <w:pPr>
              <w:jc w:val="center"/>
              <w:rPr>
                <w:rFonts w:hint="eastAsia" w:asciiTheme="minorEastAsia" w:hAnsiTheme="minorEastAsia" w:eastAsiaTheme="minorEastAsia" w:cstheme="minorEastAsia"/>
                <w:i w:val="0"/>
                <w:iCs w:val="0"/>
                <w:color w:val="000000"/>
                <w:sz w:val="21"/>
                <w:szCs w:val="21"/>
                <w:u w:val="none"/>
              </w:rPr>
            </w:pPr>
          </w:p>
        </w:tc>
        <w:tc>
          <w:tcPr>
            <w:tcW w:w="3166" w:type="dxa"/>
            <w:gridSpan w:val="5"/>
            <w:tcBorders>
              <w:top w:val="single" w:color="auto" w:sz="4" w:space="0"/>
              <w:left w:val="single" w:color="auto" w:sz="4" w:space="0"/>
              <w:bottom w:val="single" w:color="auto" w:sz="4" w:space="0"/>
              <w:right w:val="single" w:color="000000" w:sz="4" w:space="0"/>
            </w:tcBorders>
            <w:shd w:val="clear" w:color="auto" w:fill="auto"/>
            <w:vAlign w:val="center"/>
          </w:tcPr>
          <w:p w14:paraId="389826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合计</w:t>
            </w:r>
          </w:p>
        </w:tc>
        <w:tc>
          <w:tcPr>
            <w:tcW w:w="474" w:type="dxa"/>
            <w:tcBorders>
              <w:top w:val="single" w:color="auto" w:sz="4" w:space="0"/>
              <w:left w:val="single" w:color="auto" w:sz="4" w:space="0"/>
              <w:bottom w:val="single" w:color="auto" w:sz="4" w:space="0"/>
              <w:right w:val="single" w:color="000000" w:sz="4" w:space="0"/>
            </w:tcBorders>
            <w:shd w:val="clear" w:color="auto" w:fill="auto"/>
            <w:vAlign w:val="center"/>
          </w:tcPr>
          <w:p w14:paraId="65523057">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558</w:t>
            </w:r>
          </w:p>
        </w:tc>
        <w:tc>
          <w:tcPr>
            <w:tcW w:w="542" w:type="dxa"/>
            <w:tcBorders>
              <w:top w:val="single" w:color="auto" w:sz="4" w:space="0"/>
              <w:left w:val="single" w:color="000000" w:sz="4" w:space="0"/>
              <w:bottom w:val="single" w:color="auto" w:sz="4" w:space="0"/>
              <w:right w:val="single" w:color="000000" w:sz="4" w:space="0"/>
            </w:tcBorders>
            <w:shd w:val="clear" w:color="auto" w:fill="auto"/>
            <w:vAlign w:val="center"/>
          </w:tcPr>
          <w:p w14:paraId="72736F5A">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1500</w:t>
            </w:r>
          </w:p>
        </w:tc>
        <w:tc>
          <w:tcPr>
            <w:tcW w:w="570" w:type="dxa"/>
            <w:tcBorders>
              <w:top w:val="single" w:color="auto" w:sz="4" w:space="0"/>
              <w:left w:val="single" w:color="000000" w:sz="4" w:space="0"/>
              <w:bottom w:val="single" w:color="auto" w:sz="4" w:space="0"/>
              <w:right w:val="single" w:color="000000" w:sz="4" w:space="0"/>
            </w:tcBorders>
            <w:shd w:val="clear" w:color="auto" w:fill="auto"/>
            <w:vAlign w:val="center"/>
          </w:tcPr>
          <w:p w14:paraId="1DF3F455">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2058</w:t>
            </w:r>
          </w:p>
        </w:tc>
        <w:tc>
          <w:tcPr>
            <w:tcW w:w="502" w:type="dxa"/>
            <w:tcBorders>
              <w:top w:val="single" w:color="auto" w:sz="4" w:space="0"/>
              <w:left w:val="single" w:color="000000" w:sz="4" w:space="0"/>
              <w:bottom w:val="single" w:color="auto" w:sz="4" w:space="0"/>
              <w:right w:val="single" w:color="auto" w:sz="4" w:space="0"/>
            </w:tcBorders>
            <w:shd w:val="clear" w:color="auto" w:fill="auto"/>
            <w:vAlign w:val="center"/>
          </w:tcPr>
          <w:p w14:paraId="0B629984">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101</w:t>
            </w:r>
          </w:p>
        </w:tc>
        <w:tc>
          <w:tcPr>
            <w:tcW w:w="869" w:type="dxa"/>
            <w:gridSpan w:val="2"/>
            <w:tcBorders>
              <w:top w:val="single" w:color="auto" w:sz="4" w:space="0"/>
              <w:left w:val="single" w:color="000000" w:sz="4" w:space="0"/>
              <w:bottom w:val="single" w:color="auto" w:sz="4" w:space="0"/>
              <w:right w:val="single" w:color="auto" w:sz="4" w:space="0"/>
            </w:tcBorders>
            <w:shd w:val="clear" w:color="auto" w:fill="auto"/>
            <w:vAlign w:val="center"/>
          </w:tcPr>
          <w:p w14:paraId="47CEB86B">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12</w:t>
            </w:r>
          </w:p>
        </w:tc>
        <w:tc>
          <w:tcPr>
            <w:tcW w:w="869" w:type="dxa"/>
            <w:gridSpan w:val="2"/>
            <w:tcBorders>
              <w:top w:val="single" w:color="000000" w:sz="4" w:space="0"/>
              <w:left w:val="single" w:color="auto" w:sz="4" w:space="0"/>
              <w:bottom w:val="single" w:color="000000" w:sz="4" w:space="0"/>
              <w:right w:val="single" w:color="000000" w:sz="4" w:space="0"/>
            </w:tcBorders>
            <w:shd w:val="clear" w:color="auto" w:fill="auto"/>
            <w:vAlign w:val="center"/>
          </w:tcPr>
          <w:p w14:paraId="4ABDA063">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11</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4B203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18</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D101E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19</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ED864B">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21</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53D6C">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0</w:t>
            </w:r>
          </w:p>
        </w:tc>
      </w:tr>
      <w:tr w14:paraId="3F02E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5524"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14:paraId="346C2D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每周总学时</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7404A8">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1B7F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06EB56">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30</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CB9F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C170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30</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F37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宋体" w:hAnsi="宋体" w:eastAsia="宋体" w:cs="宋体"/>
                <w:i w:val="0"/>
                <w:iCs w:val="0"/>
                <w:snapToGrid w:val="0"/>
                <w:color w:val="000000"/>
                <w:kern w:val="0"/>
                <w:sz w:val="18"/>
                <w:szCs w:val="18"/>
                <w:u w:val="none"/>
                <w:lang w:val="en-US" w:eastAsia="zh-CN" w:bidi="ar"/>
              </w:rPr>
              <w:t>0</w:t>
            </w:r>
          </w:p>
        </w:tc>
      </w:tr>
      <w:tr w14:paraId="1FC0C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 w:hRule="atLeast"/>
          <w:jc w:val="center"/>
        </w:trPr>
        <w:tc>
          <w:tcPr>
            <w:tcW w:w="3436" w:type="dxa"/>
            <w:gridSpan w:val="6"/>
            <w:tcBorders>
              <w:top w:val="single" w:color="000000" w:sz="4" w:space="0"/>
              <w:left w:val="single" w:color="000000" w:sz="4" w:space="0"/>
              <w:bottom w:val="single" w:color="000000" w:sz="4" w:space="0"/>
              <w:right w:val="nil"/>
            </w:tcBorders>
            <w:shd w:val="clear" w:color="auto" w:fill="auto"/>
            <w:vAlign w:val="center"/>
          </w:tcPr>
          <w:p w14:paraId="0D1987E0">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总计</w:t>
            </w:r>
          </w:p>
        </w:tc>
        <w:tc>
          <w:tcPr>
            <w:tcW w:w="474" w:type="dxa"/>
            <w:tcBorders>
              <w:top w:val="single" w:color="000000" w:sz="4" w:space="0"/>
              <w:left w:val="single" w:color="000000" w:sz="4" w:space="0"/>
              <w:bottom w:val="single" w:color="000000" w:sz="4" w:space="0"/>
              <w:right w:val="nil"/>
            </w:tcBorders>
            <w:shd w:val="clear" w:color="auto" w:fill="auto"/>
            <w:vAlign w:val="center"/>
          </w:tcPr>
          <w:p w14:paraId="13FE82D7">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1530</w:t>
            </w:r>
          </w:p>
        </w:tc>
        <w:tc>
          <w:tcPr>
            <w:tcW w:w="542" w:type="dxa"/>
            <w:tcBorders>
              <w:top w:val="single" w:color="000000" w:sz="4" w:space="0"/>
              <w:left w:val="single" w:color="000000" w:sz="4" w:space="0"/>
              <w:bottom w:val="single" w:color="000000" w:sz="4" w:space="0"/>
              <w:right w:val="nil"/>
            </w:tcBorders>
            <w:shd w:val="clear" w:color="auto" w:fill="auto"/>
            <w:vAlign w:val="center"/>
          </w:tcPr>
          <w:p w14:paraId="43C5783E">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1770</w:t>
            </w:r>
          </w:p>
        </w:tc>
        <w:tc>
          <w:tcPr>
            <w:tcW w:w="570" w:type="dxa"/>
            <w:tcBorders>
              <w:top w:val="single" w:color="000000" w:sz="4" w:space="0"/>
              <w:left w:val="single" w:color="000000" w:sz="4" w:space="0"/>
              <w:bottom w:val="single" w:color="000000" w:sz="4" w:space="0"/>
              <w:right w:val="nil"/>
            </w:tcBorders>
            <w:shd w:val="clear" w:color="auto" w:fill="auto"/>
            <w:vAlign w:val="center"/>
          </w:tcPr>
          <w:p w14:paraId="433F5161">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3300</w:t>
            </w:r>
          </w:p>
        </w:tc>
        <w:tc>
          <w:tcPr>
            <w:tcW w:w="502" w:type="dxa"/>
            <w:tcBorders>
              <w:top w:val="single" w:color="000000" w:sz="4" w:space="0"/>
              <w:left w:val="single" w:color="000000" w:sz="4" w:space="0"/>
              <w:bottom w:val="single" w:color="000000" w:sz="4" w:space="0"/>
              <w:right w:val="nil"/>
            </w:tcBorders>
            <w:shd w:val="clear" w:color="auto" w:fill="auto"/>
            <w:vAlign w:val="center"/>
          </w:tcPr>
          <w:p w14:paraId="4D8F5240">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170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899508">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540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472996">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540</w:t>
            </w:r>
          </w:p>
        </w:tc>
        <w:tc>
          <w:tcPr>
            <w:tcW w:w="86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C840BB">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540</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31547A">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540</w:t>
            </w:r>
          </w:p>
        </w:tc>
        <w:tc>
          <w:tcPr>
            <w:tcW w:w="869" w:type="dxa"/>
            <w:gridSpan w:val="2"/>
            <w:tcBorders>
              <w:top w:val="single" w:color="000000" w:sz="4" w:space="0"/>
              <w:left w:val="nil"/>
              <w:bottom w:val="single" w:color="000000" w:sz="4" w:space="0"/>
              <w:right w:val="nil"/>
            </w:tcBorders>
            <w:shd w:val="clear" w:color="auto" w:fill="auto"/>
            <w:vAlign w:val="center"/>
          </w:tcPr>
          <w:p w14:paraId="44431AFE">
            <w:pPr>
              <w:keepNext w:val="0"/>
              <w:keepLines w:val="0"/>
              <w:widowControl/>
              <w:suppressLineNumbers w:val="0"/>
              <w:jc w:val="center"/>
              <w:textAlignment w:val="center"/>
              <w:rPr>
                <w:rFonts w:hint="default"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540</w:t>
            </w:r>
          </w:p>
        </w:tc>
        <w:tc>
          <w:tcPr>
            <w:tcW w:w="5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89D66">
            <w:pPr>
              <w:keepNext w:val="0"/>
              <w:keepLines w:val="0"/>
              <w:widowControl/>
              <w:suppressLineNumbers w:val="0"/>
              <w:jc w:val="center"/>
              <w:textAlignment w:val="center"/>
              <w:rPr>
                <w:rFonts w:hint="eastAsia" w:asciiTheme="minorEastAsia" w:hAnsiTheme="minorEastAsia" w:eastAsiaTheme="minorEastAsia" w:cstheme="minorEastAsia"/>
                <w:i w:val="0"/>
                <w:iCs w:val="0"/>
                <w:snapToGrid w:val="0"/>
                <w:color w:val="000000"/>
                <w:kern w:val="0"/>
                <w:sz w:val="21"/>
                <w:szCs w:val="21"/>
                <w:u w:val="none"/>
                <w:lang w:val="en-US" w:eastAsia="en-US" w:bidi="ar-SA"/>
              </w:rPr>
            </w:pPr>
            <w:r>
              <w:rPr>
                <w:rFonts w:hint="eastAsia" w:ascii="宋体" w:hAnsi="宋体" w:eastAsia="宋体" w:cs="宋体"/>
                <w:i w:val="0"/>
                <w:iCs w:val="0"/>
                <w:snapToGrid w:val="0"/>
                <w:color w:val="000000"/>
                <w:kern w:val="0"/>
                <w:sz w:val="18"/>
                <w:szCs w:val="18"/>
                <w:u w:val="none"/>
                <w:lang w:val="en-US" w:eastAsia="zh-CN" w:bidi="ar"/>
              </w:rPr>
              <w:t>600</w:t>
            </w:r>
          </w:p>
        </w:tc>
      </w:tr>
      <w:tr w14:paraId="29FF7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6" w:hRule="atLeast"/>
          <w:jc w:val="center"/>
        </w:trPr>
        <w:tc>
          <w:tcPr>
            <w:tcW w:w="10386" w:type="dxa"/>
            <w:gridSpan w:val="21"/>
            <w:tcBorders>
              <w:top w:val="nil"/>
              <w:left w:val="nil"/>
              <w:bottom w:val="nil"/>
              <w:right w:val="nil"/>
            </w:tcBorders>
            <w:shd w:val="clear" w:color="auto" w:fill="auto"/>
            <w:vAlign w:val="center"/>
          </w:tcPr>
          <w:p w14:paraId="2FFD3639">
            <w:pPr>
              <w:keepNext w:val="0"/>
              <w:keepLines w:val="0"/>
              <w:widowControl/>
              <w:suppressLineNumbers w:val="0"/>
              <w:jc w:val="center"/>
              <w:textAlignment w:val="center"/>
            </w:pPr>
            <w:r>
              <w:rPr>
                <w:rFonts w:hint="eastAsia" w:ascii="宋体" w:hAnsi="宋体" w:eastAsia="宋体" w:cs="宋体"/>
                <w:i w:val="0"/>
                <w:iCs w:val="0"/>
                <w:snapToGrid w:val="0"/>
                <w:color w:val="000000"/>
                <w:kern w:val="0"/>
                <w:sz w:val="18"/>
                <w:szCs w:val="18"/>
                <w:u w:val="none"/>
                <w:lang w:val="en-US" w:eastAsia="zh-CN" w:bidi="ar"/>
              </w:rPr>
              <w:t>注：本表不含考试1周、实习实训1周</w:t>
            </w:r>
          </w:p>
        </w:tc>
      </w:tr>
    </w:tbl>
    <w:p w14:paraId="06E66F17">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bookmarkStart w:id="53" w:name="bookmark21"/>
      <w:bookmarkEnd w:id="53"/>
      <w:bookmarkStart w:id="54" w:name="bookmark34"/>
      <w:bookmarkEnd w:id="54"/>
      <w:bookmarkStart w:id="55" w:name="_Toc24677"/>
      <w:bookmarkStart w:id="56" w:name="_Toc26840"/>
      <w:r>
        <w:rPr>
          <w:rFonts w:hint="eastAsia" w:ascii="黑体" w:hAnsi="黑体" w:eastAsia="黑体" w:cs="黑体"/>
          <w:b w:val="0"/>
          <w:bCs w:val="0"/>
          <w:spacing w:val="-7"/>
          <w:sz w:val="24"/>
          <w:szCs w:val="24"/>
          <w:lang w:val="en-US" w:eastAsia="zh-CN"/>
        </w:rPr>
        <w:t>九、实施保障</w:t>
      </w:r>
      <w:bookmarkEnd w:id="55"/>
      <w:bookmarkEnd w:id="56"/>
    </w:p>
    <w:p w14:paraId="3F48CDAD">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rPr>
        <w:t>主要包括师资队伍、教学设施、教学资源、教学方法、教学评价、质量管理等方面，满足培养目标、人才规格的要求，满足教学 安排的需要，满足学生的多样学习需求，积极吸收行业企业参与。</w:t>
      </w:r>
    </w:p>
    <w:p w14:paraId="49E59A54">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z w:val="24"/>
          <w:szCs w:val="24"/>
        </w:rPr>
      </w:pPr>
      <w:bookmarkStart w:id="57" w:name="_Toc10699"/>
      <w:r>
        <w:rPr>
          <w:rFonts w:hint="eastAsia" w:ascii="楷体" w:hAnsi="楷体" w:eastAsia="楷体" w:cs="楷体"/>
          <w:b/>
          <w:bCs/>
          <w:spacing w:val="-7"/>
          <w:sz w:val="24"/>
          <w:szCs w:val="24"/>
        </w:rPr>
        <w:t>（一）师资队伍</w:t>
      </w:r>
      <w:bookmarkEnd w:id="57"/>
    </w:p>
    <w:p w14:paraId="47136541">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bookmarkStart w:id="58" w:name="bookmark22"/>
      <w:bookmarkEnd w:id="58"/>
      <w:r>
        <w:rPr>
          <w:rFonts w:hint="eastAsia" w:ascii="宋体" w:hAnsi="宋体" w:eastAsia="宋体" w:cs="宋体"/>
          <w:sz w:val="24"/>
          <w:szCs w:val="24"/>
          <w:lang w:val="en-US" w:eastAsia="zh-CN"/>
        </w:rPr>
        <w:t>按照“四有好老师”“四个相统一”“四个引路人”的要求建设了专业教师队伍，将师德师风作为教师队伍建设的第一标准。</w:t>
      </w:r>
    </w:p>
    <w:p w14:paraId="79A22984">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1.队伍结构</w:t>
      </w:r>
    </w:p>
    <w:p w14:paraId="710CD738">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rPr>
        <w:t>根据教育部颁布的《中等职业学校教师专业标准</w:t>
      </w:r>
      <w:r>
        <w:rPr>
          <w:rFonts w:hint="eastAsia" w:ascii="宋体" w:hAnsi="宋体" w:eastAsia="宋体" w:cs="宋体"/>
          <w:sz w:val="24"/>
          <w:szCs w:val="24"/>
          <w:lang w:eastAsia="zh-CN"/>
        </w:rPr>
        <w:t>（试行）</w:t>
      </w:r>
      <w:r>
        <w:rPr>
          <w:rFonts w:hint="eastAsia" w:ascii="宋体" w:hAnsi="宋体" w:eastAsia="宋体" w:cs="宋体"/>
          <w:sz w:val="24"/>
          <w:szCs w:val="24"/>
        </w:rPr>
        <w:t>》和《中等职业学校设置</w:t>
      </w:r>
      <w:r>
        <w:rPr>
          <w:rFonts w:hint="eastAsia" w:ascii="宋体" w:hAnsi="宋体" w:eastAsia="宋体" w:cs="宋体"/>
          <w:sz w:val="24"/>
          <w:szCs w:val="24"/>
          <w:lang w:eastAsia="zh-CN"/>
        </w:rPr>
        <w:t>标准</w:t>
      </w:r>
      <w:r>
        <w:rPr>
          <w:rFonts w:hint="eastAsia" w:ascii="宋体" w:hAnsi="宋体" w:eastAsia="宋体" w:cs="宋体"/>
          <w:sz w:val="24"/>
          <w:szCs w:val="24"/>
        </w:rPr>
        <w:t>》的有关规定，本专业专任教师师生比不低于1：20,需要配备专任教师</w:t>
      </w:r>
      <w:r>
        <w:rPr>
          <w:rFonts w:hint="eastAsia" w:ascii="宋体" w:hAnsi="宋体" w:eastAsia="宋体" w:cs="宋体"/>
          <w:sz w:val="24"/>
          <w:szCs w:val="24"/>
          <w:lang w:val="en-US" w:eastAsia="zh-CN"/>
        </w:rPr>
        <w:t>4</w:t>
      </w:r>
      <w:r>
        <w:rPr>
          <w:rFonts w:hint="eastAsia" w:ascii="宋体" w:hAnsi="宋体" w:eastAsia="宋体" w:cs="宋体"/>
          <w:sz w:val="24"/>
          <w:szCs w:val="24"/>
        </w:rPr>
        <w:t>名，企业兼职教师</w:t>
      </w:r>
      <w:r>
        <w:rPr>
          <w:rFonts w:hint="eastAsia" w:ascii="宋体" w:hAnsi="宋体" w:eastAsia="宋体" w:cs="宋体"/>
          <w:sz w:val="24"/>
          <w:szCs w:val="24"/>
          <w:lang w:val="en-US" w:eastAsia="zh-CN"/>
        </w:rPr>
        <w:t>1</w:t>
      </w:r>
      <w:r>
        <w:rPr>
          <w:rFonts w:hint="eastAsia" w:ascii="宋体" w:hAnsi="宋体" w:eastAsia="宋体" w:cs="宋体"/>
          <w:sz w:val="24"/>
          <w:szCs w:val="24"/>
        </w:rPr>
        <w:t>名；专业课教师中</w:t>
      </w:r>
      <w:r>
        <w:rPr>
          <w:rFonts w:hint="eastAsia" w:ascii="宋体" w:hAnsi="宋体" w:eastAsia="宋体" w:cs="宋体"/>
          <w:sz w:val="24"/>
          <w:szCs w:val="24"/>
          <w:lang w:val="zh-CN"/>
        </w:rPr>
        <w:t>“双</w:t>
      </w:r>
      <w:r>
        <w:rPr>
          <w:rFonts w:hint="eastAsia" w:ascii="宋体" w:hAnsi="宋体" w:eastAsia="宋体" w:cs="宋体"/>
          <w:sz w:val="24"/>
          <w:szCs w:val="24"/>
        </w:rPr>
        <w:t>师型”教师比例不低于</w:t>
      </w:r>
      <w:r>
        <w:rPr>
          <w:rFonts w:hint="eastAsia" w:ascii="宋体" w:hAnsi="宋体" w:eastAsia="宋体" w:cs="宋体"/>
          <w:sz w:val="24"/>
          <w:szCs w:val="24"/>
          <w:lang w:val="en-US" w:eastAsia="zh-CN"/>
        </w:rPr>
        <w:t>75</w:t>
      </w:r>
      <w:r>
        <w:rPr>
          <w:rFonts w:hint="eastAsia" w:ascii="宋体" w:hAnsi="宋体" w:eastAsia="宋体" w:cs="宋体"/>
          <w:sz w:val="24"/>
          <w:szCs w:val="24"/>
          <w:lang w:val="zh-CN"/>
        </w:rPr>
        <w:t>%；</w:t>
      </w:r>
      <w:r>
        <w:rPr>
          <w:rFonts w:hint="eastAsia" w:ascii="宋体" w:hAnsi="宋体" w:eastAsia="宋体" w:cs="宋体"/>
          <w:sz w:val="24"/>
          <w:szCs w:val="24"/>
        </w:rPr>
        <w:t>师资队伍结构合理，整合</w:t>
      </w:r>
      <w:r>
        <w:rPr>
          <w:rFonts w:hint="eastAsia" w:ascii="宋体" w:hAnsi="宋体" w:eastAsia="宋体" w:cs="宋体"/>
          <w:sz w:val="24"/>
          <w:szCs w:val="24"/>
          <w:lang w:val="en-US" w:eastAsia="zh-CN"/>
        </w:rPr>
        <w:t>了</w:t>
      </w:r>
      <w:r>
        <w:rPr>
          <w:rFonts w:hint="eastAsia" w:ascii="宋体" w:hAnsi="宋体" w:eastAsia="宋体" w:cs="宋体"/>
          <w:sz w:val="24"/>
          <w:szCs w:val="24"/>
        </w:rPr>
        <w:t>校内外优质人才资源，选聘</w:t>
      </w:r>
      <w:r>
        <w:rPr>
          <w:rFonts w:hint="eastAsia" w:ascii="宋体" w:hAnsi="宋体" w:eastAsia="宋体" w:cs="宋体"/>
          <w:sz w:val="24"/>
          <w:szCs w:val="24"/>
          <w:lang w:val="en-US" w:eastAsia="zh-CN"/>
        </w:rPr>
        <w:t>了</w:t>
      </w:r>
      <w:r>
        <w:rPr>
          <w:rFonts w:hint="eastAsia" w:ascii="宋体" w:hAnsi="宋体" w:eastAsia="宋体" w:cs="宋体"/>
          <w:sz w:val="24"/>
          <w:szCs w:val="24"/>
        </w:rPr>
        <w:t>企业高级技术人员担任行业导师，组建校企合作、专兼结合的教师团队，建立定期开展专业教研机制。</w:t>
      </w:r>
    </w:p>
    <w:p w14:paraId="4B21BF87">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2.专业带头人</w:t>
      </w:r>
    </w:p>
    <w:p w14:paraId="4A178A75">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lang w:val="en-US" w:eastAsia="zh-CN"/>
        </w:rPr>
        <w:t>我校专业带头人</w:t>
      </w:r>
      <w:r>
        <w:rPr>
          <w:rFonts w:hint="eastAsia" w:ascii="宋体" w:hAnsi="宋体" w:eastAsia="宋体" w:cs="宋体"/>
          <w:sz w:val="24"/>
          <w:szCs w:val="24"/>
        </w:rPr>
        <w:t>具有本专业较强的实践能力，能广泛联系行业企业，了解</w:t>
      </w:r>
      <w:r>
        <w:rPr>
          <w:rFonts w:hint="eastAsia" w:ascii="宋体" w:hAnsi="宋体" w:eastAsia="宋体" w:cs="宋体"/>
          <w:sz w:val="24"/>
          <w:szCs w:val="24"/>
          <w:lang w:eastAsia="zh-CN"/>
        </w:rPr>
        <w:t>新能源汽车前市场及后市场</w:t>
      </w:r>
      <w:r>
        <w:rPr>
          <w:rFonts w:hint="eastAsia" w:ascii="宋体" w:hAnsi="宋体" w:eastAsia="宋体" w:cs="宋体"/>
          <w:sz w:val="24"/>
          <w:szCs w:val="24"/>
        </w:rPr>
        <w:t>等行业发展新趋势，准确把握行业企业用人需求，具有组织开展专业建设、教科研工作和企业服务的能力，在本专业改革发展中起</w:t>
      </w:r>
      <w:r>
        <w:rPr>
          <w:rFonts w:hint="eastAsia" w:ascii="宋体" w:hAnsi="宋体" w:eastAsia="宋体" w:cs="宋体"/>
          <w:sz w:val="24"/>
          <w:szCs w:val="24"/>
          <w:lang w:val="en-US" w:eastAsia="zh-CN"/>
        </w:rPr>
        <w:t>到了</w:t>
      </w:r>
      <w:r>
        <w:rPr>
          <w:rFonts w:hint="eastAsia" w:ascii="宋体" w:hAnsi="宋体" w:eastAsia="宋体" w:cs="宋体"/>
          <w:sz w:val="24"/>
          <w:szCs w:val="24"/>
        </w:rPr>
        <w:t>引领作用。</w:t>
      </w:r>
    </w:p>
    <w:p w14:paraId="0A12A576">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3.专任教师</w:t>
      </w:r>
    </w:p>
    <w:p w14:paraId="23B6821F">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lang w:val="en-US" w:eastAsia="zh-CN"/>
        </w:rPr>
        <w:t>我校专任教师</w:t>
      </w:r>
      <w:r>
        <w:rPr>
          <w:rFonts w:hint="eastAsia" w:ascii="宋体" w:hAnsi="宋体" w:eastAsia="宋体" w:cs="宋体"/>
          <w:sz w:val="24"/>
          <w:szCs w:val="24"/>
        </w:rPr>
        <w:t>具有教师资格证书；具有</w:t>
      </w:r>
      <w:r>
        <w:rPr>
          <w:rFonts w:hint="eastAsia" w:ascii="宋体" w:hAnsi="宋体" w:eastAsia="宋体" w:cs="宋体"/>
          <w:sz w:val="24"/>
          <w:szCs w:val="24"/>
          <w:lang w:eastAsia="zh-CN"/>
        </w:rPr>
        <w:t>车辆工程</w:t>
      </w:r>
      <w:r>
        <w:rPr>
          <w:rFonts w:hint="eastAsia" w:ascii="宋体" w:hAnsi="宋体" w:eastAsia="宋体" w:cs="宋体"/>
          <w:sz w:val="24"/>
          <w:szCs w:val="24"/>
        </w:rPr>
        <w:t>等相关专业学历；具有一定年限的相应工作经历或者实践经验，达到</w:t>
      </w:r>
      <w:r>
        <w:rPr>
          <w:rFonts w:hint="eastAsia" w:ascii="宋体" w:hAnsi="宋体" w:eastAsia="宋体" w:cs="宋体"/>
          <w:sz w:val="24"/>
          <w:szCs w:val="24"/>
          <w:lang w:val="en-US" w:eastAsia="zh-CN"/>
        </w:rPr>
        <w:t>了</w:t>
      </w:r>
      <w:r>
        <w:rPr>
          <w:rFonts w:hint="eastAsia" w:ascii="宋体" w:hAnsi="宋体" w:eastAsia="宋体" w:cs="宋体"/>
          <w:sz w:val="24"/>
          <w:szCs w:val="24"/>
        </w:rPr>
        <w:t>相应的技术技能水平；具有本专业理论和实践能力；能够落实课程思政要求，挖掘专业课程中的思政教育元素和资源；能够运用信息技术开展混合式教学等教法改革；能够跟踪新经济、新技术发展前沿，开展社会</w:t>
      </w:r>
      <w:r>
        <w:rPr>
          <w:rFonts w:hint="eastAsia" w:ascii="宋体" w:hAnsi="宋体" w:eastAsia="宋体" w:cs="宋体"/>
          <w:sz w:val="24"/>
          <w:szCs w:val="24"/>
          <w:lang w:val="en-US" w:eastAsia="zh-CN"/>
        </w:rPr>
        <w:t>服</w:t>
      </w:r>
      <w:r>
        <w:rPr>
          <w:rFonts w:hint="eastAsia" w:ascii="宋体" w:hAnsi="宋体" w:eastAsia="宋体" w:cs="宋体"/>
          <w:sz w:val="24"/>
          <w:szCs w:val="24"/>
        </w:rPr>
        <w:t>务；专业教师每年至少1个月在企业或生产性实训基地锻炼，每5 年累计不少于 6 个月的企业实践经历。</w:t>
      </w:r>
    </w:p>
    <w:p w14:paraId="07192333">
      <w:pPr>
        <w:keepNext w:val="0"/>
        <w:keepLines w:val="0"/>
        <w:pageBreakBefore w:val="0"/>
        <w:widowControl w:val="0"/>
        <w:kinsoku/>
        <w:wordWrap/>
        <w:overflowPunct/>
        <w:topLinePunct w:val="0"/>
        <w:autoSpaceDE/>
        <w:autoSpaceDN/>
        <w:bidi w:val="0"/>
        <w:adjustRightInd w:val="0"/>
        <w:snapToGrid/>
        <w:spacing w:line="360" w:lineRule="auto"/>
        <w:ind w:firstLine="482" w:firstLineChars="200"/>
        <w:textAlignment w:val="auto"/>
        <w:outlineLvl w:val="9"/>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4.兼职教师</w:t>
      </w:r>
    </w:p>
    <w:p w14:paraId="5E9B5C5F">
      <w:pPr>
        <w:keepNext w:val="0"/>
        <w:keepLines w:val="0"/>
        <w:pageBreakBefore w:val="0"/>
        <w:widowControl w:val="0"/>
        <w:kinsoku/>
        <w:wordWrap/>
        <w:overflowPunct/>
        <w:topLinePunct w:val="0"/>
        <w:autoSpaceDE/>
        <w:autoSpaceDN/>
        <w:bidi w:val="0"/>
        <w:adjustRightInd w:val="0"/>
        <w:snapToGrid/>
        <w:spacing w:line="360" w:lineRule="auto"/>
        <w:ind w:firstLine="480" w:firstLineChars="200"/>
        <w:textAlignment w:val="auto"/>
        <w:outlineLvl w:val="9"/>
        <w:rPr>
          <w:rFonts w:hint="eastAsia" w:ascii="宋体" w:hAnsi="宋体" w:eastAsia="宋体" w:cs="宋体"/>
          <w:sz w:val="24"/>
          <w:szCs w:val="24"/>
        </w:rPr>
      </w:pPr>
      <w:r>
        <w:rPr>
          <w:rFonts w:hint="eastAsia" w:ascii="宋体" w:hAnsi="宋体" w:eastAsia="宋体" w:cs="宋体"/>
          <w:sz w:val="24"/>
          <w:szCs w:val="24"/>
        </w:rPr>
        <w:t>从本专业相关行业企业的高技能人才中聘任，具有扎实的专业知识和丰富的实际工作经验，具有中级及以上专业技术职务（职称）或高级工及以上职业技能等级，了解教育教学规律，能承担专业课程教学、实习实训指导和学生职业发展规划指导等专业教学任务。根据需要聘请技能大师、劳动模范等高技能人才，根据国家有关要求制定</w:t>
      </w:r>
      <w:r>
        <w:rPr>
          <w:rFonts w:hint="eastAsia" w:ascii="宋体" w:hAnsi="宋体" w:eastAsia="宋体" w:cs="宋体"/>
          <w:sz w:val="24"/>
          <w:szCs w:val="24"/>
          <w:lang w:val="en-US" w:eastAsia="zh-CN"/>
        </w:rPr>
        <w:t>了</w:t>
      </w:r>
      <w:r>
        <w:rPr>
          <w:rFonts w:hint="eastAsia" w:ascii="宋体" w:hAnsi="宋体" w:eastAsia="宋体" w:cs="宋体"/>
          <w:sz w:val="24"/>
          <w:szCs w:val="24"/>
        </w:rPr>
        <w:t>针对兼职教师聘任与管理的具体实施办法。</w:t>
      </w:r>
    </w:p>
    <w:p w14:paraId="28C82D2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59" w:name="_Toc10096"/>
      <w:r>
        <w:rPr>
          <w:rFonts w:hint="eastAsia" w:ascii="楷体" w:hAnsi="楷体" w:eastAsia="楷体" w:cs="楷体"/>
          <w:b/>
          <w:bCs/>
          <w:spacing w:val="-7"/>
          <w:sz w:val="24"/>
          <w:szCs w:val="24"/>
          <w:lang w:val="en-US" w:eastAsia="zh-CN"/>
        </w:rPr>
        <w:t>（二）教学设施</w:t>
      </w:r>
      <w:bookmarkEnd w:id="59"/>
    </w:p>
    <w:p w14:paraId="6F7ADB8E">
      <w:pPr>
        <w:pStyle w:val="19"/>
        <w:keepNext w:val="0"/>
        <w:keepLines w:val="0"/>
        <w:pageBreakBefore w:val="0"/>
        <w:wordWrap/>
        <w:topLinePunct w:val="0"/>
        <w:bidi w:val="0"/>
        <w:spacing w:line="360" w:lineRule="auto"/>
        <w:ind w:firstLine="420"/>
        <w:outlineLvl w:val="9"/>
        <w:rPr>
          <w:rFonts w:hint="eastAsia" w:asciiTheme="minorEastAsia" w:hAnsiTheme="minorEastAsia" w:cstheme="minorEastAsia"/>
          <w:color w:val="auto"/>
          <w:sz w:val="24"/>
          <w:szCs w:val="24"/>
          <w:lang w:eastAsia="zh-CN"/>
        </w:rPr>
      </w:pPr>
      <w:r>
        <w:rPr>
          <w:rFonts w:ascii="宋体" w:hAnsi="宋体" w:eastAsia="宋体" w:cs="宋体"/>
          <w:sz w:val="24"/>
          <w:szCs w:val="24"/>
        </w:rPr>
        <w:t>根据教育部</w:t>
      </w:r>
      <w:r>
        <w:rPr>
          <w:rFonts w:hint="eastAsia" w:ascii="宋体" w:hAnsi="宋体" w:eastAsia="宋体" w:cs="宋体"/>
          <w:sz w:val="24"/>
          <w:szCs w:val="24"/>
          <w:lang w:eastAsia="zh-CN"/>
        </w:rPr>
        <w:t>新能源汽车运用与维修</w:t>
      </w:r>
      <w:r>
        <w:rPr>
          <w:rFonts w:ascii="宋体" w:hAnsi="宋体" w:eastAsia="宋体" w:cs="宋体"/>
          <w:sz w:val="24"/>
          <w:szCs w:val="24"/>
        </w:rPr>
        <w:t>专业教学标准要求，</w:t>
      </w:r>
      <w:r>
        <w:rPr>
          <w:rFonts w:hint="eastAsia" w:asciiTheme="minorEastAsia" w:hAnsiTheme="minorEastAsia" w:eastAsiaTheme="minorEastAsia" w:cstheme="minorEastAsia"/>
          <w:color w:val="auto"/>
          <w:sz w:val="24"/>
          <w:szCs w:val="24"/>
        </w:rPr>
        <w:t>专业应配备</w:t>
      </w:r>
      <w:r>
        <w:rPr>
          <w:rFonts w:hint="eastAsia" w:asciiTheme="minorEastAsia" w:hAnsiTheme="minorEastAsia" w:eastAsiaTheme="minorEastAsia" w:cstheme="minorEastAsia"/>
          <w:color w:val="auto"/>
          <w:sz w:val="24"/>
          <w:szCs w:val="24"/>
          <w:lang w:val="en-US" w:eastAsia="zh-CN"/>
        </w:rPr>
        <w:t>满</w:t>
      </w:r>
      <w:r>
        <w:rPr>
          <w:rFonts w:hint="eastAsia" w:asciiTheme="minorEastAsia" w:hAnsiTheme="minorEastAsia" w:cstheme="minorEastAsia"/>
          <w:color w:val="auto"/>
          <w:sz w:val="24"/>
          <w:szCs w:val="24"/>
          <w:lang w:eastAsia="zh-CN"/>
        </w:rPr>
        <w:t>足正常的课程教学、实习实训所需的专业教室、实验室、实训室和实习实训基地。</w:t>
      </w:r>
    </w:p>
    <w:p w14:paraId="366D1655">
      <w:pPr>
        <w:pStyle w:val="20"/>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eastAsia" w:ascii="宋体" w:hAnsi="宋体" w:eastAsia="宋体" w:cs="宋体"/>
          <w:b/>
          <w:bCs w:val="0"/>
          <w:sz w:val="24"/>
          <w:szCs w:val="24"/>
          <w:highlight w:val="none"/>
          <w:lang w:val="en-US" w:eastAsia="zh-CN"/>
        </w:rPr>
      </w:pPr>
      <w:bookmarkStart w:id="60" w:name="_Toc11186_WPSOffice_Level3"/>
      <w:bookmarkStart w:id="61" w:name="_Toc20344_WPSOffice_Level3"/>
      <w:bookmarkStart w:id="62" w:name="_Toc10488_WPSOffice_Level3"/>
      <w:bookmarkStart w:id="63" w:name="_Toc3371"/>
      <w:bookmarkStart w:id="64" w:name="_Toc8896"/>
      <w:bookmarkStart w:id="65" w:name="_Toc8109"/>
      <w:r>
        <w:rPr>
          <w:rFonts w:hint="eastAsia" w:ascii="宋体" w:hAnsi="宋体" w:eastAsia="宋体" w:cs="宋体"/>
          <w:b/>
          <w:bCs w:val="0"/>
          <w:sz w:val="24"/>
          <w:szCs w:val="24"/>
          <w:highlight w:val="none"/>
          <w:lang w:val="en-US" w:eastAsia="zh-CN"/>
        </w:rPr>
        <w:t>1</w:t>
      </w:r>
      <w:r>
        <w:rPr>
          <w:rFonts w:ascii="宋体" w:hAnsi="宋体" w:eastAsia="宋体" w:cs="宋体"/>
          <w:b/>
          <w:bCs w:val="0"/>
          <w:sz w:val="24"/>
          <w:szCs w:val="24"/>
          <w:highlight w:val="none"/>
        </w:rPr>
        <w:t>.</w:t>
      </w:r>
      <w:bookmarkEnd w:id="60"/>
      <w:bookmarkEnd w:id="61"/>
      <w:bookmarkEnd w:id="62"/>
      <w:bookmarkEnd w:id="63"/>
      <w:r>
        <w:rPr>
          <w:rFonts w:hint="eastAsia" w:ascii="宋体" w:hAnsi="宋体" w:eastAsia="宋体" w:cs="宋体"/>
          <w:b/>
          <w:bCs w:val="0"/>
          <w:sz w:val="24"/>
          <w:szCs w:val="24"/>
          <w:highlight w:val="none"/>
          <w:lang w:val="en-US" w:eastAsia="zh-CN"/>
        </w:rPr>
        <w:t>专业教室基本要求</w:t>
      </w:r>
      <w:bookmarkEnd w:id="64"/>
    </w:p>
    <w:p w14:paraId="3E2113F5">
      <w:pPr>
        <w:pStyle w:val="20"/>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default" w:ascii="宋体" w:hAnsi="宋体" w:eastAsia="宋体" w:cs="宋体"/>
          <w:b w:val="0"/>
          <w:snapToGrid w:val="0"/>
          <w:color w:val="000000"/>
          <w:kern w:val="0"/>
          <w:sz w:val="24"/>
          <w:szCs w:val="24"/>
          <w:lang w:val="en-US" w:eastAsia="zh-CN" w:bidi="ar-SA"/>
        </w:rPr>
      </w:pPr>
      <w:bookmarkStart w:id="66" w:name="_Toc11819"/>
      <w:r>
        <w:rPr>
          <w:rFonts w:hint="eastAsia" w:ascii="宋体" w:hAnsi="宋体" w:eastAsia="宋体" w:cs="宋体"/>
          <w:b w:val="0"/>
          <w:snapToGrid w:val="0"/>
          <w:color w:val="000000"/>
          <w:kern w:val="0"/>
          <w:sz w:val="24"/>
          <w:szCs w:val="24"/>
          <w:lang w:val="en-US" w:eastAsia="zh-CN" w:bidi="ar-SA"/>
        </w:rPr>
        <w:t>专业教室</w:t>
      </w:r>
      <w:r>
        <w:rPr>
          <w:rFonts w:hint="default" w:ascii="宋体" w:hAnsi="宋体" w:eastAsia="宋体" w:cs="宋体"/>
          <w:b w:val="0"/>
          <w:snapToGrid w:val="0"/>
          <w:color w:val="000000"/>
          <w:kern w:val="0"/>
          <w:sz w:val="24"/>
          <w:szCs w:val="24"/>
          <w:lang w:val="en-US" w:eastAsia="zh-CN" w:bidi="ar-SA"/>
        </w:rPr>
        <w:t>具备利用信息化手段开展混合式教学的条件。配备黑（白）板、多媒体计算机、投影设备、音响设备，具有互联网接入或无线网络环境及网络安全防护措施。安装应急照明装置并保持良好状态，符合紧急疏散要求，安防标志明显，保持逃生通道畅通无阻。</w:t>
      </w:r>
      <w:bookmarkEnd w:id="66"/>
    </w:p>
    <w:p w14:paraId="18769AAE">
      <w:pPr>
        <w:pStyle w:val="20"/>
        <w:keepNext w:val="0"/>
        <w:keepLines w:val="0"/>
        <w:pageBreakBefore w:val="0"/>
        <w:widowControl w:val="0"/>
        <w:kinsoku/>
        <w:wordWrap/>
        <w:overflowPunct/>
        <w:topLinePunct w:val="0"/>
        <w:autoSpaceDE/>
        <w:autoSpaceDN/>
        <w:bidi w:val="0"/>
        <w:adjustRightInd/>
        <w:snapToGrid/>
        <w:spacing w:line="360" w:lineRule="auto"/>
        <w:ind w:firstLine="422"/>
        <w:textAlignment w:val="auto"/>
        <w:outlineLvl w:val="9"/>
        <w:rPr>
          <w:rFonts w:hint="default" w:ascii="宋体" w:hAnsi="宋体" w:eastAsia="宋体" w:cs="宋体"/>
          <w:b/>
          <w:bCs w:val="0"/>
          <w:sz w:val="24"/>
          <w:szCs w:val="24"/>
          <w:highlight w:val="none"/>
        </w:rPr>
      </w:pPr>
      <w:bookmarkStart w:id="67" w:name="_Toc28992"/>
      <w:r>
        <w:rPr>
          <w:rFonts w:hint="eastAsia" w:ascii="宋体" w:hAnsi="宋体" w:eastAsia="宋体" w:cs="宋体"/>
          <w:b/>
          <w:bCs w:val="0"/>
          <w:sz w:val="24"/>
          <w:szCs w:val="24"/>
          <w:highlight w:val="none"/>
          <w:lang w:val="en-US" w:eastAsia="zh-CN"/>
        </w:rPr>
        <w:t>2</w:t>
      </w:r>
      <w:r>
        <w:rPr>
          <w:rFonts w:ascii="宋体" w:hAnsi="宋体" w:eastAsia="宋体" w:cs="宋体"/>
          <w:b/>
          <w:bCs w:val="0"/>
          <w:sz w:val="24"/>
          <w:szCs w:val="24"/>
          <w:highlight w:val="none"/>
        </w:rPr>
        <w:t>.校内实训室基本要求</w:t>
      </w:r>
      <w:bookmarkEnd w:id="67"/>
    </w:p>
    <w:p w14:paraId="2E1B3A30">
      <w:pPr>
        <w:pStyle w:val="19"/>
        <w:keepNext w:val="0"/>
        <w:keepLines w:val="0"/>
        <w:pageBreakBefore w:val="0"/>
        <w:wordWrap/>
        <w:topLinePunct w:val="0"/>
        <w:bidi w:val="0"/>
        <w:spacing w:line="360" w:lineRule="auto"/>
        <w:ind w:firstLine="420"/>
        <w:outlineLvl w:val="9"/>
        <w:rPr>
          <w:rFonts w:hint="eastAsia" w:ascii="宋体" w:hAnsi="宋体" w:eastAsia="宋体" w:cs="宋体"/>
          <w:sz w:val="24"/>
          <w:szCs w:val="24"/>
          <w:highlight w:val="none"/>
          <w:lang w:eastAsia="zh-CN"/>
        </w:rPr>
      </w:pPr>
      <w:r>
        <w:rPr>
          <w:rFonts w:ascii="宋体" w:hAnsi="宋体" w:eastAsia="宋体" w:cs="宋体"/>
          <w:sz w:val="24"/>
          <w:szCs w:val="24"/>
          <w:highlight w:val="none"/>
        </w:rPr>
        <w:t>校内实训室实践教学条件达到</w:t>
      </w:r>
      <w:r>
        <w:rPr>
          <w:rFonts w:hint="eastAsia" w:ascii="宋体" w:hAnsi="宋体" w:eastAsia="宋体" w:cs="宋体"/>
          <w:sz w:val="24"/>
          <w:szCs w:val="24"/>
          <w:highlight w:val="none"/>
          <w:lang w:val="en-US" w:eastAsia="zh-CN"/>
        </w:rPr>
        <w:t>了</w:t>
      </w:r>
      <w:r>
        <w:rPr>
          <w:rFonts w:ascii="宋体" w:hAnsi="宋体" w:eastAsia="宋体" w:cs="宋体"/>
          <w:sz w:val="24"/>
          <w:szCs w:val="24"/>
          <w:highlight w:val="none"/>
        </w:rPr>
        <w:t>《职业院校专业实训教学条件建设标准（职业学校专业仪器设备装备规范）》，</w:t>
      </w:r>
      <w:r>
        <w:rPr>
          <w:rFonts w:hint="eastAsia" w:ascii="宋体" w:hAnsi="宋体" w:eastAsia="宋体" w:cs="宋体"/>
          <w:sz w:val="24"/>
          <w:szCs w:val="24"/>
          <w:highlight w:val="none"/>
        </w:rPr>
        <w:t>实训场所面积、设备设施、安全、环境、管理等符合教育部有关标准</w:t>
      </w:r>
      <w:r>
        <w:rPr>
          <w:rFonts w:hint="eastAsia" w:ascii="宋体" w:hAnsi="宋体" w:eastAsia="宋体" w:cs="宋体"/>
          <w:sz w:val="24"/>
          <w:szCs w:val="24"/>
          <w:highlight w:val="none"/>
          <w:lang w:eastAsia="zh-CN"/>
        </w:rPr>
        <w:t>，实训环境与设备设施对接真实职业场景或工作情境，实训项目注重工学结合、理实一体化，实训指导教师配备合理，实训管理及实施规章制度齐全，</w:t>
      </w:r>
      <w:r>
        <w:rPr>
          <w:rFonts w:hint="eastAsia" w:ascii="宋体" w:hAnsi="宋体" w:eastAsia="宋体" w:cs="宋体"/>
          <w:sz w:val="24"/>
          <w:szCs w:val="24"/>
          <w:highlight w:val="none"/>
          <w:lang w:val="en-US" w:eastAsia="zh-CN"/>
        </w:rPr>
        <w:t>能够顺利开展各项实训活动及</w:t>
      </w:r>
      <w:r>
        <w:rPr>
          <w:rFonts w:ascii="宋体" w:hAnsi="宋体" w:eastAsia="宋体" w:cs="宋体"/>
          <w:sz w:val="24"/>
          <w:szCs w:val="24"/>
          <w:highlight w:val="none"/>
        </w:rPr>
        <w:t>岗位技能实训的要求，还满足</w:t>
      </w:r>
      <w:r>
        <w:rPr>
          <w:rFonts w:hint="eastAsia" w:ascii="宋体" w:hAnsi="宋体" w:eastAsia="宋体" w:cs="宋体"/>
          <w:sz w:val="24"/>
          <w:szCs w:val="24"/>
          <w:highlight w:val="none"/>
          <w:lang w:val="en-US" w:eastAsia="zh-CN"/>
        </w:rPr>
        <w:t>了</w:t>
      </w:r>
      <w:r>
        <w:rPr>
          <w:rFonts w:ascii="宋体" w:hAnsi="宋体" w:eastAsia="宋体" w:cs="宋体"/>
          <w:sz w:val="24"/>
          <w:szCs w:val="24"/>
          <w:highlight w:val="none"/>
        </w:rPr>
        <w:t>本专业学生参加职业技能大赛和考取</w:t>
      </w:r>
      <w:r>
        <w:rPr>
          <w:rFonts w:hint="eastAsia" w:ascii="宋体" w:hAnsi="宋体" w:eastAsia="宋体" w:cs="宋体"/>
          <w:sz w:val="24"/>
          <w:szCs w:val="24"/>
          <w:highlight w:val="none"/>
          <w:lang w:val="en-US" w:eastAsia="zh-CN"/>
        </w:rPr>
        <w:t>职业资格</w:t>
      </w:r>
      <w:r>
        <w:rPr>
          <w:rFonts w:ascii="宋体" w:hAnsi="宋体" w:eastAsia="宋体" w:cs="宋体"/>
          <w:sz w:val="24"/>
          <w:szCs w:val="24"/>
          <w:highlight w:val="none"/>
        </w:rPr>
        <w:t>证书的需要</w:t>
      </w:r>
      <w:r>
        <w:rPr>
          <w:rFonts w:hint="eastAsia" w:ascii="宋体" w:hAnsi="宋体" w:eastAsia="宋体" w:cs="宋体"/>
          <w:sz w:val="24"/>
          <w:szCs w:val="24"/>
          <w:highlight w:val="none"/>
          <w:lang w:eastAsia="zh-CN"/>
        </w:rPr>
        <w:t>。</w:t>
      </w:r>
    </w:p>
    <w:p w14:paraId="083530FA">
      <w:pPr>
        <w:pStyle w:val="20"/>
        <w:keepNext w:val="0"/>
        <w:keepLines w:val="0"/>
        <w:pageBreakBefore w:val="0"/>
        <w:wordWrap/>
        <w:topLinePunct w:val="0"/>
        <w:bidi w:val="0"/>
        <w:spacing w:line="360" w:lineRule="auto"/>
        <w:ind w:firstLine="0" w:firstLineChars="0"/>
        <w:jc w:val="both"/>
        <w:outlineLvl w:val="9"/>
        <w:rPr>
          <w:rFonts w:hint="eastAsia" w:ascii="宋体" w:hAnsi="宋体" w:eastAsia="宋体" w:cs="宋体"/>
          <w:color w:val="auto"/>
          <w:sz w:val="24"/>
          <w:szCs w:val="24"/>
        </w:rPr>
      </w:pPr>
    </w:p>
    <w:p w14:paraId="6B4893C5">
      <w:pPr>
        <w:pStyle w:val="20"/>
        <w:keepNext w:val="0"/>
        <w:keepLines w:val="0"/>
        <w:pageBreakBefore w:val="0"/>
        <w:wordWrap/>
        <w:topLinePunct w:val="0"/>
        <w:bidi w:val="0"/>
        <w:spacing w:line="360" w:lineRule="auto"/>
        <w:ind w:firstLine="0" w:firstLineChars="0"/>
        <w:jc w:val="center"/>
        <w:outlineLvl w:val="9"/>
        <w:rPr>
          <w:rFonts w:hint="eastAsia" w:ascii="宋体" w:hAnsi="宋体" w:eastAsia="宋体" w:cs="宋体"/>
          <w:sz w:val="24"/>
          <w:szCs w:val="24"/>
        </w:rPr>
      </w:pPr>
      <w:r>
        <w:rPr>
          <w:rFonts w:hint="eastAsia" w:ascii="宋体" w:hAnsi="宋体" w:eastAsia="宋体" w:cs="宋体"/>
          <w:sz w:val="24"/>
          <w:szCs w:val="24"/>
          <w:lang w:eastAsia="zh-CN"/>
        </w:rPr>
        <w:t>新能源汽车运用与维修</w:t>
      </w:r>
      <w:r>
        <w:rPr>
          <w:rFonts w:hint="eastAsia" w:ascii="宋体" w:hAnsi="宋体" w:eastAsia="宋体" w:cs="宋体"/>
          <w:sz w:val="24"/>
          <w:szCs w:val="24"/>
        </w:rPr>
        <w:t>专业所涉及的校内实训室建设情况如下：</w:t>
      </w:r>
    </w:p>
    <w:p w14:paraId="05E4D712">
      <w:pPr>
        <w:keepNext w:val="0"/>
        <w:keepLines w:val="0"/>
        <w:pageBreakBefore w:val="0"/>
        <w:wordWrap/>
        <w:topLinePunct w:val="0"/>
        <w:bidi w:val="0"/>
        <w:adjustRightInd w:val="0"/>
        <w:spacing w:line="360" w:lineRule="auto"/>
        <w:ind w:firstLine="480" w:firstLineChars="200"/>
        <w:outlineLvl w:val="9"/>
        <w:rPr>
          <w:rFonts w:hint="eastAsia" w:ascii="宋体" w:hAnsi="宋体" w:eastAsia="宋体" w:cs="宋体"/>
          <w:sz w:val="24"/>
          <w:szCs w:val="24"/>
        </w:rPr>
      </w:pPr>
    </w:p>
    <w:p w14:paraId="263F26DA">
      <w:pPr>
        <w:keepNext w:val="0"/>
        <w:keepLines w:val="0"/>
        <w:pageBreakBefore w:val="0"/>
        <w:wordWrap/>
        <w:topLinePunct w:val="0"/>
        <w:bidi w:val="0"/>
        <w:adjustRightInd w:val="0"/>
        <w:spacing w:line="360" w:lineRule="auto"/>
        <w:ind w:firstLine="480" w:firstLineChars="200"/>
        <w:jc w:val="center"/>
        <w:outlineLvl w:val="9"/>
        <w:rPr>
          <w:rFonts w:hint="eastAsia" w:ascii="宋体" w:hAnsi="宋体" w:eastAsia="宋体" w:cs="宋体"/>
          <w:sz w:val="24"/>
          <w:szCs w:val="24"/>
          <w:highlight w:val="none"/>
        </w:rPr>
      </w:pPr>
      <w:bookmarkStart w:id="68" w:name="_Toc25140"/>
      <w:r>
        <w:rPr>
          <w:rFonts w:hint="eastAsia" w:ascii="宋体" w:hAnsi="宋体" w:eastAsia="宋体" w:cs="宋体"/>
          <w:sz w:val="24"/>
          <w:szCs w:val="24"/>
          <w:highlight w:val="none"/>
        </w:rPr>
        <w:t>表1</w:t>
      </w:r>
      <w:r>
        <w:rPr>
          <w:rFonts w:hint="eastAsia" w:ascii="宋体" w:hAnsi="宋体" w:eastAsia="宋体" w:cs="宋体"/>
          <w:sz w:val="24"/>
          <w:szCs w:val="24"/>
          <w:highlight w:val="none"/>
          <w:lang w:val="en-US" w:eastAsia="zh-CN"/>
        </w:rPr>
        <w:t>1驱动电机</w:t>
      </w:r>
      <w:r>
        <w:rPr>
          <w:rFonts w:hint="eastAsia" w:ascii="宋体" w:hAnsi="宋体" w:eastAsia="宋体" w:cs="宋体"/>
          <w:sz w:val="24"/>
          <w:szCs w:val="24"/>
          <w:highlight w:val="none"/>
        </w:rPr>
        <w:t>实训室</w:t>
      </w:r>
      <w:bookmarkEnd w:id="68"/>
    </w:p>
    <w:p w14:paraId="397AD930">
      <w:pPr>
        <w:keepNext w:val="0"/>
        <w:keepLines w:val="0"/>
        <w:pageBreakBefore w:val="0"/>
        <w:wordWrap/>
        <w:topLinePunct w:val="0"/>
        <w:bidi w:val="0"/>
        <w:spacing w:line="360" w:lineRule="auto"/>
        <w:jc w:val="righ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实训室面积：120</w:t>
      </w:r>
      <w:r>
        <w:rPr>
          <w:rFonts w:hint="eastAsia" w:ascii="宋体" w:hAnsi="宋体" w:eastAsia="宋体" w:cs="宋体"/>
          <w:sz w:val="24"/>
          <w:szCs w:val="24"/>
          <w:highlight w:val="none"/>
          <w:lang w:bidi="en-US"/>
        </w:rPr>
        <w:t>m</w:t>
      </w:r>
      <w:r>
        <w:rPr>
          <w:rFonts w:hint="eastAsia" w:ascii="宋体" w:hAnsi="宋体" w:eastAsia="宋体" w:cs="宋体"/>
          <w:sz w:val="24"/>
          <w:szCs w:val="24"/>
          <w:highlight w:val="none"/>
          <w:vertAlign w:val="superscript"/>
          <w:lang w:bidi="en-US"/>
        </w:rPr>
        <w:t>2</w:t>
      </w:r>
    </w:p>
    <w:tbl>
      <w:tblPr>
        <w:tblStyle w:val="11"/>
        <w:tblW w:w="93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50"/>
        <w:gridCol w:w="2419"/>
        <w:gridCol w:w="1684"/>
        <w:gridCol w:w="1471"/>
        <w:gridCol w:w="2853"/>
      </w:tblGrid>
      <w:tr w14:paraId="687B4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jc w:val="center"/>
        </w:trPr>
        <w:tc>
          <w:tcPr>
            <w:tcW w:w="950" w:type="dxa"/>
            <w:tcBorders>
              <w:tl2br w:val="nil"/>
              <w:tr2bl w:val="nil"/>
            </w:tcBorders>
            <w:shd w:val="clear" w:color="auto" w:fill="FFFFFF"/>
            <w:vAlign w:val="center"/>
          </w:tcPr>
          <w:p w14:paraId="2878620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419" w:type="dxa"/>
            <w:tcBorders>
              <w:tl2br w:val="nil"/>
              <w:tr2bl w:val="nil"/>
            </w:tcBorders>
            <w:shd w:val="clear" w:color="auto" w:fill="FFFFFF"/>
            <w:vAlign w:val="center"/>
          </w:tcPr>
          <w:p w14:paraId="3E8F48A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核心设备</w:t>
            </w:r>
          </w:p>
        </w:tc>
        <w:tc>
          <w:tcPr>
            <w:tcW w:w="1684" w:type="dxa"/>
            <w:tcBorders>
              <w:tl2br w:val="nil"/>
              <w:tr2bl w:val="nil"/>
            </w:tcBorders>
            <w:shd w:val="clear" w:color="auto" w:fill="FFFFFF"/>
            <w:vAlign w:val="center"/>
          </w:tcPr>
          <w:p w14:paraId="119A18B7">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71" w:type="dxa"/>
            <w:tcBorders>
              <w:tl2br w:val="nil"/>
              <w:tr2bl w:val="nil"/>
            </w:tcBorders>
            <w:shd w:val="clear" w:color="auto" w:fill="FFFFFF"/>
            <w:vAlign w:val="center"/>
          </w:tcPr>
          <w:p w14:paraId="7111599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853" w:type="dxa"/>
            <w:tcBorders>
              <w:tl2br w:val="nil"/>
              <w:tr2bl w:val="nil"/>
            </w:tcBorders>
            <w:shd w:val="clear" w:color="auto" w:fill="FFFFFF"/>
            <w:vAlign w:val="center"/>
          </w:tcPr>
          <w:p w14:paraId="2E53978B">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5FF90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jc w:val="center"/>
        </w:trPr>
        <w:tc>
          <w:tcPr>
            <w:tcW w:w="950" w:type="dxa"/>
            <w:tcBorders>
              <w:tl2br w:val="nil"/>
              <w:tr2bl w:val="nil"/>
            </w:tcBorders>
            <w:shd w:val="clear" w:color="auto" w:fill="FFFFFF"/>
            <w:vAlign w:val="center"/>
          </w:tcPr>
          <w:p w14:paraId="718BFFD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419" w:type="dxa"/>
            <w:tcBorders>
              <w:tl2br w:val="nil"/>
              <w:tr2bl w:val="nil"/>
            </w:tcBorders>
            <w:shd w:val="clear" w:color="auto" w:fill="FFFFFF"/>
            <w:vAlign w:val="center"/>
          </w:tcPr>
          <w:p w14:paraId="6A77EE0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驱动电机</w:t>
            </w:r>
          </w:p>
        </w:tc>
        <w:tc>
          <w:tcPr>
            <w:tcW w:w="1684" w:type="dxa"/>
            <w:tcBorders>
              <w:tl2br w:val="nil"/>
              <w:tr2bl w:val="nil"/>
            </w:tcBorders>
            <w:shd w:val="clear" w:color="auto" w:fill="FFFFFF"/>
            <w:vAlign w:val="center"/>
          </w:tcPr>
          <w:p w14:paraId="4023F7E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71" w:type="dxa"/>
            <w:tcBorders>
              <w:tl2br w:val="nil"/>
              <w:tr2bl w:val="nil"/>
            </w:tcBorders>
            <w:shd w:val="clear" w:color="auto" w:fill="FFFFFF"/>
            <w:vAlign w:val="center"/>
          </w:tcPr>
          <w:p w14:paraId="238A6E1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2853" w:type="dxa"/>
            <w:vMerge w:val="restart"/>
            <w:tcBorders>
              <w:tl2br w:val="nil"/>
              <w:tr2bl w:val="nil"/>
            </w:tcBorders>
            <w:shd w:val="clear" w:color="auto" w:fill="FFFFFF"/>
            <w:vAlign w:val="center"/>
          </w:tcPr>
          <w:p w14:paraId="6BB4D532">
            <w:pPr>
              <w:pStyle w:val="17"/>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default" w:ascii="宋体" w:hAnsi="宋体" w:eastAsia="宋体" w:cs="宋体"/>
                <w:sz w:val="24"/>
                <w:szCs w:val="24"/>
                <w:highlight w:val="none"/>
                <w:lang w:val="en-US"/>
              </w:rPr>
            </w:pPr>
            <w:r>
              <w:rPr>
                <w:rFonts w:hint="eastAsia" w:ascii="宋体" w:hAnsi="宋体" w:eastAsia="宋体" w:cs="宋体"/>
                <w:sz w:val="24"/>
                <w:szCs w:val="24"/>
                <w:highlight w:val="none"/>
              </w:rPr>
              <w:t>主要对应</w:t>
            </w:r>
            <w:r>
              <w:rPr>
                <w:rFonts w:hint="eastAsia" w:ascii="宋体" w:hAnsi="宋体" w:eastAsia="宋体" w:cs="宋体"/>
                <w:sz w:val="24"/>
                <w:szCs w:val="24"/>
                <w:highlight w:val="none"/>
                <w:lang w:eastAsia="zh-CN"/>
              </w:rPr>
              <w:t>驱动电机课程的实训教学：</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lang w:eastAsia="zh-CN"/>
              </w:rPr>
              <w:t>驱动电机的拆装；</w:t>
            </w:r>
            <w:r>
              <w:rPr>
                <w:rFonts w:hint="eastAsia" w:ascii="宋体" w:hAnsi="宋体" w:eastAsia="宋体" w:cs="宋体"/>
                <w:sz w:val="24"/>
                <w:szCs w:val="24"/>
                <w:highlight w:val="none"/>
                <w:lang w:val="en-US" w:eastAsia="zh-CN"/>
              </w:rPr>
              <w:t>2、驱动电机的静态检测；3、驱动电机的动态检测</w:t>
            </w:r>
          </w:p>
        </w:tc>
      </w:tr>
      <w:tr w14:paraId="0D61A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jc w:val="center"/>
        </w:trPr>
        <w:tc>
          <w:tcPr>
            <w:tcW w:w="950" w:type="dxa"/>
            <w:tcBorders>
              <w:tl2br w:val="nil"/>
              <w:tr2bl w:val="nil"/>
            </w:tcBorders>
            <w:shd w:val="clear" w:color="auto" w:fill="FFFFFF"/>
            <w:vAlign w:val="center"/>
          </w:tcPr>
          <w:p w14:paraId="429C52A3">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2419" w:type="dxa"/>
            <w:tcBorders>
              <w:tl2br w:val="nil"/>
              <w:tr2bl w:val="nil"/>
            </w:tcBorders>
            <w:shd w:val="clear" w:color="auto" w:fill="FFFFFF"/>
            <w:vAlign w:val="center"/>
          </w:tcPr>
          <w:p w14:paraId="1D5DCB2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配电柜</w:t>
            </w:r>
          </w:p>
        </w:tc>
        <w:tc>
          <w:tcPr>
            <w:tcW w:w="1684" w:type="dxa"/>
            <w:tcBorders>
              <w:tl2br w:val="nil"/>
              <w:tr2bl w:val="nil"/>
            </w:tcBorders>
            <w:shd w:val="clear" w:color="auto" w:fill="FFFFFF"/>
            <w:vAlign w:val="center"/>
          </w:tcPr>
          <w:p w14:paraId="0ECEB77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台</w:t>
            </w:r>
          </w:p>
        </w:tc>
        <w:tc>
          <w:tcPr>
            <w:tcW w:w="1471" w:type="dxa"/>
            <w:tcBorders>
              <w:tl2br w:val="nil"/>
              <w:tr2bl w:val="nil"/>
            </w:tcBorders>
            <w:shd w:val="clear" w:color="auto" w:fill="FFFFFF"/>
            <w:vAlign w:val="center"/>
          </w:tcPr>
          <w:p w14:paraId="580ABDC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2</w:t>
            </w:r>
          </w:p>
        </w:tc>
        <w:tc>
          <w:tcPr>
            <w:tcW w:w="2853" w:type="dxa"/>
            <w:vMerge w:val="continue"/>
            <w:tcBorders>
              <w:tl2br w:val="nil"/>
              <w:tr2bl w:val="nil"/>
            </w:tcBorders>
            <w:shd w:val="clear" w:color="auto" w:fill="FFFFFF"/>
            <w:vAlign w:val="center"/>
          </w:tcPr>
          <w:p w14:paraId="40BBF4C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red"/>
              </w:rPr>
            </w:pPr>
          </w:p>
        </w:tc>
      </w:tr>
      <w:tr w14:paraId="17967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jc w:val="center"/>
        </w:trPr>
        <w:tc>
          <w:tcPr>
            <w:tcW w:w="950" w:type="dxa"/>
            <w:tcBorders>
              <w:tl2br w:val="nil"/>
              <w:tr2bl w:val="nil"/>
            </w:tcBorders>
            <w:shd w:val="clear" w:color="auto" w:fill="FFFFFF"/>
            <w:vAlign w:val="center"/>
          </w:tcPr>
          <w:p w14:paraId="6E7D877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2419" w:type="dxa"/>
            <w:tcBorders>
              <w:tl2br w:val="nil"/>
              <w:tr2bl w:val="nil"/>
            </w:tcBorders>
            <w:shd w:val="clear" w:color="auto" w:fill="FFFFFF"/>
            <w:vAlign w:val="center"/>
          </w:tcPr>
          <w:p w14:paraId="4BDB529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驱动电机控制器</w:t>
            </w:r>
          </w:p>
        </w:tc>
        <w:tc>
          <w:tcPr>
            <w:tcW w:w="1684" w:type="dxa"/>
            <w:tcBorders>
              <w:tl2br w:val="nil"/>
              <w:tr2bl w:val="nil"/>
            </w:tcBorders>
            <w:shd w:val="clear" w:color="auto" w:fill="FFFFFF"/>
            <w:vAlign w:val="center"/>
          </w:tcPr>
          <w:p w14:paraId="52D408D9">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台</w:t>
            </w:r>
          </w:p>
        </w:tc>
        <w:tc>
          <w:tcPr>
            <w:tcW w:w="1471" w:type="dxa"/>
            <w:tcBorders>
              <w:tl2br w:val="nil"/>
              <w:tr2bl w:val="nil"/>
            </w:tcBorders>
            <w:shd w:val="clear" w:color="auto" w:fill="FFFFFF"/>
            <w:vAlign w:val="center"/>
          </w:tcPr>
          <w:p w14:paraId="3C90AA2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1</w:t>
            </w:r>
          </w:p>
        </w:tc>
        <w:tc>
          <w:tcPr>
            <w:tcW w:w="2853" w:type="dxa"/>
            <w:vMerge w:val="continue"/>
            <w:tcBorders>
              <w:tl2br w:val="nil"/>
              <w:tr2bl w:val="nil"/>
            </w:tcBorders>
            <w:shd w:val="clear" w:color="auto" w:fill="FFFFFF"/>
            <w:vAlign w:val="center"/>
          </w:tcPr>
          <w:p w14:paraId="34B89263">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red"/>
              </w:rPr>
            </w:pPr>
          </w:p>
        </w:tc>
      </w:tr>
      <w:tr w14:paraId="54233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jc w:val="center"/>
        </w:trPr>
        <w:tc>
          <w:tcPr>
            <w:tcW w:w="950" w:type="dxa"/>
            <w:tcBorders>
              <w:tl2br w:val="nil"/>
              <w:tr2bl w:val="nil"/>
            </w:tcBorders>
            <w:shd w:val="clear" w:color="auto" w:fill="FFFFFF"/>
            <w:vAlign w:val="center"/>
          </w:tcPr>
          <w:p w14:paraId="66F54B0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p>
        </w:tc>
        <w:tc>
          <w:tcPr>
            <w:tcW w:w="2419" w:type="dxa"/>
            <w:tcBorders>
              <w:tl2br w:val="nil"/>
              <w:tr2bl w:val="nil"/>
            </w:tcBorders>
            <w:shd w:val="clear" w:color="auto" w:fill="FFFFFF"/>
            <w:vAlign w:val="center"/>
          </w:tcPr>
          <w:p w14:paraId="0367428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电机解剖实训台</w:t>
            </w:r>
          </w:p>
        </w:tc>
        <w:tc>
          <w:tcPr>
            <w:tcW w:w="1684" w:type="dxa"/>
            <w:tcBorders>
              <w:tl2br w:val="nil"/>
              <w:tr2bl w:val="nil"/>
            </w:tcBorders>
            <w:shd w:val="clear" w:color="auto" w:fill="FFFFFF"/>
            <w:vAlign w:val="center"/>
          </w:tcPr>
          <w:p w14:paraId="398157A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台</w:t>
            </w:r>
          </w:p>
        </w:tc>
        <w:tc>
          <w:tcPr>
            <w:tcW w:w="1471" w:type="dxa"/>
            <w:tcBorders>
              <w:tl2br w:val="nil"/>
              <w:tr2bl w:val="nil"/>
            </w:tcBorders>
            <w:shd w:val="clear" w:color="auto" w:fill="FFFFFF"/>
            <w:vAlign w:val="center"/>
          </w:tcPr>
          <w:p w14:paraId="59261C5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2853" w:type="dxa"/>
            <w:vMerge w:val="continue"/>
            <w:tcBorders>
              <w:tl2br w:val="nil"/>
              <w:tr2bl w:val="nil"/>
            </w:tcBorders>
            <w:shd w:val="clear" w:color="auto" w:fill="FFFFFF"/>
            <w:vAlign w:val="center"/>
          </w:tcPr>
          <w:p w14:paraId="535868B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red"/>
              </w:rPr>
            </w:pPr>
          </w:p>
        </w:tc>
      </w:tr>
      <w:tr w14:paraId="07A7B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jc w:val="center"/>
        </w:trPr>
        <w:tc>
          <w:tcPr>
            <w:tcW w:w="950" w:type="dxa"/>
            <w:tcBorders>
              <w:tl2br w:val="nil"/>
              <w:tr2bl w:val="nil"/>
            </w:tcBorders>
            <w:shd w:val="clear" w:color="auto" w:fill="FFFFFF"/>
            <w:vAlign w:val="center"/>
          </w:tcPr>
          <w:p w14:paraId="2470A50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p>
        </w:tc>
        <w:tc>
          <w:tcPr>
            <w:tcW w:w="2419" w:type="dxa"/>
            <w:tcBorders>
              <w:tl2br w:val="nil"/>
              <w:tr2bl w:val="nil"/>
            </w:tcBorders>
            <w:shd w:val="clear" w:color="auto" w:fill="FFFFFF"/>
            <w:vAlign w:val="center"/>
          </w:tcPr>
          <w:p w14:paraId="6FB31751">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驱动电机工作原理演示台</w:t>
            </w:r>
          </w:p>
        </w:tc>
        <w:tc>
          <w:tcPr>
            <w:tcW w:w="1684" w:type="dxa"/>
            <w:tcBorders>
              <w:tl2br w:val="nil"/>
              <w:tr2bl w:val="nil"/>
            </w:tcBorders>
            <w:shd w:val="clear" w:color="auto" w:fill="FFFFFF"/>
            <w:vAlign w:val="center"/>
          </w:tcPr>
          <w:p w14:paraId="0A4BD1A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台</w:t>
            </w:r>
          </w:p>
        </w:tc>
        <w:tc>
          <w:tcPr>
            <w:tcW w:w="1471" w:type="dxa"/>
            <w:tcBorders>
              <w:tl2br w:val="nil"/>
              <w:tr2bl w:val="nil"/>
            </w:tcBorders>
            <w:shd w:val="clear" w:color="auto" w:fill="FFFFFF"/>
            <w:vAlign w:val="center"/>
          </w:tcPr>
          <w:p w14:paraId="16A4B9C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2853" w:type="dxa"/>
            <w:vMerge w:val="continue"/>
            <w:tcBorders>
              <w:tl2br w:val="nil"/>
              <w:tr2bl w:val="nil"/>
            </w:tcBorders>
            <w:shd w:val="clear" w:color="auto" w:fill="FFFFFF"/>
            <w:vAlign w:val="center"/>
          </w:tcPr>
          <w:p w14:paraId="6BA083D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red"/>
              </w:rPr>
            </w:pPr>
          </w:p>
        </w:tc>
      </w:tr>
    </w:tbl>
    <w:p w14:paraId="4415EE64">
      <w:pPr>
        <w:keepNext w:val="0"/>
        <w:keepLines w:val="0"/>
        <w:pageBreakBefore w:val="0"/>
        <w:wordWrap/>
        <w:topLinePunct w:val="0"/>
        <w:bidi w:val="0"/>
        <w:adjustRightInd w:val="0"/>
        <w:spacing w:line="360" w:lineRule="auto"/>
        <w:jc w:val="both"/>
        <w:outlineLvl w:val="9"/>
        <w:rPr>
          <w:rFonts w:hint="eastAsia" w:ascii="宋体" w:hAnsi="宋体" w:eastAsia="宋体" w:cs="宋体"/>
          <w:sz w:val="24"/>
          <w:szCs w:val="24"/>
          <w:highlight w:val="none"/>
        </w:rPr>
      </w:pPr>
    </w:p>
    <w:p w14:paraId="7ACBFFB9">
      <w:pPr>
        <w:keepNext w:val="0"/>
        <w:keepLines w:val="0"/>
        <w:pageBreakBefore w:val="0"/>
        <w:wordWrap/>
        <w:topLinePunct w:val="0"/>
        <w:bidi w:val="0"/>
        <w:adjustRightInd w:val="0"/>
        <w:spacing w:line="360" w:lineRule="auto"/>
        <w:jc w:val="center"/>
        <w:outlineLvl w:val="9"/>
        <w:rPr>
          <w:rFonts w:hint="eastAsia" w:ascii="宋体" w:hAnsi="宋体" w:eastAsia="宋体" w:cs="宋体"/>
          <w:kern w:val="2"/>
          <w:sz w:val="24"/>
          <w:szCs w:val="24"/>
          <w:highlight w:val="none"/>
          <w:lang w:val="en-US" w:eastAsia="zh-CN" w:bidi="ar-SA"/>
        </w:rPr>
      </w:pPr>
      <w:bookmarkStart w:id="69" w:name="_Toc25137"/>
      <w:r>
        <w:rPr>
          <w:rFonts w:hint="eastAsia" w:ascii="宋体" w:hAnsi="宋体" w:eastAsia="宋体" w:cs="宋体"/>
          <w:sz w:val="24"/>
          <w:szCs w:val="24"/>
          <w:highlight w:val="none"/>
        </w:rPr>
        <w:t>表1</w:t>
      </w:r>
      <w:r>
        <w:rPr>
          <w:rFonts w:hint="eastAsia" w:ascii="宋体" w:hAnsi="宋体" w:eastAsia="宋体" w:cs="宋体"/>
          <w:sz w:val="24"/>
          <w:szCs w:val="24"/>
          <w:highlight w:val="none"/>
          <w:lang w:val="en-US" w:eastAsia="zh-CN"/>
        </w:rPr>
        <w:t>2动力电池</w:t>
      </w:r>
      <w:r>
        <w:rPr>
          <w:rFonts w:hint="eastAsia" w:ascii="宋体" w:hAnsi="宋体" w:eastAsia="宋体" w:cs="宋体"/>
          <w:sz w:val="24"/>
          <w:szCs w:val="24"/>
          <w:highlight w:val="none"/>
        </w:rPr>
        <w:t>实训室</w:t>
      </w:r>
      <w:bookmarkEnd w:id="69"/>
    </w:p>
    <w:tbl>
      <w:tblPr>
        <w:tblStyle w:val="11"/>
        <w:tblpPr w:leftFromText="180" w:rightFromText="180" w:vertAnchor="text" w:horzAnchor="page" w:tblpX="1281" w:tblpY="1017"/>
        <w:tblOverlap w:val="never"/>
        <w:tblW w:w="93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50"/>
        <w:gridCol w:w="2416"/>
        <w:gridCol w:w="1684"/>
        <w:gridCol w:w="1483"/>
        <w:gridCol w:w="2816"/>
      </w:tblGrid>
      <w:tr w14:paraId="7CD73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09" w:hRule="atLeast"/>
        </w:trPr>
        <w:tc>
          <w:tcPr>
            <w:tcW w:w="950" w:type="dxa"/>
            <w:tcBorders>
              <w:tl2br w:val="nil"/>
              <w:tr2bl w:val="nil"/>
            </w:tcBorders>
            <w:shd w:val="clear" w:color="auto" w:fill="FFFFFF"/>
            <w:vAlign w:val="center"/>
          </w:tcPr>
          <w:p w14:paraId="2524A51D">
            <w:pPr>
              <w:pStyle w:val="17"/>
              <w:keepNext w:val="0"/>
              <w:keepLines w:val="0"/>
              <w:pageBreakBefore w:val="0"/>
              <w:widowControl w:val="0"/>
              <w:kinsoku/>
              <w:wordWrap/>
              <w:overflowPunct/>
              <w:topLinePunct w:val="0"/>
              <w:autoSpaceDE/>
              <w:autoSpaceDN/>
              <w:bidi w:val="0"/>
              <w:adjustRightInd/>
              <w:snapToGrid/>
              <w:spacing w:line="360" w:lineRule="auto"/>
              <w:ind w:firstLine="240" w:firstLineChars="100"/>
              <w:jc w:val="both"/>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416" w:type="dxa"/>
            <w:tcBorders>
              <w:tl2br w:val="nil"/>
              <w:tr2bl w:val="nil"/>
            </w:tcBorders>
            <w:shd w:val="clear" w:color="auto" w:fill="FFFFFF"/>
            <w:vAlign w:val="center"/>
          </w:tcPr>
          <w:p w14:paraId="3E94214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设备名称</w:t>
            </w:r>
          </w:p>
        </w:tc>
        <w:tc>
          <w:tcPr>
            <w:tcW w:w="1684" w:type="dxa"/>
            <w:tcBorders>
              <w:tl2br w:val="nil"/>
              <w:tr2bl w:val="nil"/>
            </w:tcBorders>
            <w:shd w:val="clear" w:color="auto" w:fill="FFFFFF"/>
            <w:vAlign w:val="center"/>
          </w:tcPr>
          <w:p w14:paraId="46D70187">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83" w:type="dxa"/>
            <w:tcBorders>
              <w:tl2br w:val="nil"/>
              <w:tr2bl w:val="nil"/>
            </w:tcBorders>
            <w:shd w:val="clear" w:color="auto" w:fill="FFFFFF"/>
            <w:vAlign w:val="center"/>
          </w:tcPr>
          <w:p w14:paraId="5D492253">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816" w:type="dxa"/>
            <w:tcBorders>
              <w:tl2br w:val="nil"/>
              <w:tr2bl w:val="nil"/>
            </w:tcBorders>
            <w:shd w:val="clear" w:color="auto" w:fill="FFFFFF"/>
            <w:vAlign w:val="center"/>
          </w:tcPr>
          <w:p w14:paraId="67827B4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3470B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61ED96CB">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416" w:type="dxa"/>
            <w:tcBorders>
              <w:tl2br w:val="nil"/>
              <w:tr2bl w:val="nil"/>
            </w:tcBorders>
            <w:shd w:val="clear" w:color="auto" w:fill="FFFFFF"/>
            <w:vAlign w:val="center"/>
          </w:tcPr>
          <w:p w14:paraId="4A9F78E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动力电池装调平台</w:t>
            </w:r>
          </w:p>
        </w:tc>
        <w:tc>
          <w:tcPr>
            <w:tcW w:w="1684" w:type="dxa"/>
            <w:tcBorders>
              <w:tl2br w:val="nil"/>
              <w:tr2bl w:val="nil"/>
            </w:tcBorders>
            <w:shd w:val="clear" w:color="auto" w:fill="FFFFFF"/>
            <w:vAlign w:val="center"/>
          </w:tcPr>
          <w:p w14:paraId="1DCA80A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83" w:type="dxa"/>
            <w:tcBorders>
              <w:tl2br w:val="nil"/>
              <w:tr2bl w:val="nil"/>
            </w:tcBorders>
            <w:shd w:val="clear" w:color="auto" w:fill="FFFFFF"/>
            <w:vAlign w:val="center"/>
          </w:tcPr>
          <w:p w14:paraId="788624A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w:t>
            </w:r>
          </w:p>
        </w:tc>
        <w:tc>
          <w:tcPr>
            <w:tcW w:w="2816" w:type="dxa"/>
            <w:vMerge w:val="restart"/>
            <w:tcBorders>
              <w:tl2br w:val="nil"/>
              <w:tr2bl w:val="nil"/>
            </w:tcBorders>
            <w:shd w:val="clear" w:color="auto" w:fill="FFFFFF"/>
            <w:vAlign w:val="center"/>
          </w:tcPr>
          <w:p w14:paraId="55E2144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主要对应</w:t>
            </w:r>
            <w:r>
              <w:rPr>
                <w:rFonts w:hint="eastAsia" w:ascii="宋体" w:hAnsi="宋体" w:eastAsia="宋体" w:cs="宋体"/>
                <w:sz w:val="24"/>
                <w:szCs w:val="24"/>
                <w:highlight w:val="none"/>
                <w:lang w:eastAsia="zh-CN"/>
              </w:rPr>
              <w:t>动力蓄电池的构造与检修实训课程：动力电池拆装、动力电池检测、动力电池控制系统检修</w:t>
            </w:r>
          </w:p>
        </w:tc>
      </w:tr>
      <w:tr w14:paraId="1FDD46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2498C0E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2416" w:type="dxa"/>
            <w:tcBorders>
              <w:tl2br w:val="nil"/>
              <w:tr2bl w:val="nil"/>
            </w:tcBorders>
            <w:shd w:val="clear" w:color="auto" w:fill="FFFFFF"/>
            <w:vAlign w:val="center"/>
          </w:tcPr>
          <w:p w14:paraId="32B529BB">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电池分容柜</w:t>
            </w:r>
          </w:p>
        </w:tc>
        <w:tc>
          <w:tcPr>
            <w:tcW w:w="1684" w:type="dxa"/>
            <w:tcBorders>
              <w:tl2br w:val="nil"/>
              <w:tr2bl w:val="nil"/>
            </w:tcBorders>
            <w:shd w:val="clear" w:color="auto" w:fill="FFFFFF"/>
            <w:vAlign w:val="center"/>
          </w:tcPr>
          <w:p w14:paraId="67B6146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83" w:type="dxa"/>
            <w:tcBorders>
              <w:tl2br w:val="nil"/>
              <w:tr2bl w:val="nil"/>
            </w:tcBorders>
            <w:shd w:val="clear" w:color="auto" w:fill="FFFFFF"/>
            <w:vAlign w:val="center"/>
          </w:tcPr>
          <w:p w14:paraId="7E1820F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w:t>
            </w:r>
          </w:p>
        </w:tc>
        <w:tc>
          <w:tcPr>
            <w:tcW w:w="2816" w:type="dxa"/>
            <w:vMerge w:val="continue"/>
            <w:tcBorders>
              <w:tl2br w:val="nil"/>
              <w:tr2bl w:val="nil"/>
            </w:tcBorders>
            <w:shd w:val="clear" w:color="auto" w:fill="FFFFFF"/>
            <w:vAlign w:val="center"/>
          </w:tcPr>
          <w:p w14:paraId="5EAB1A1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3F995D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27DC924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2416" w:type="dxa"/>
            <w:tcBorders>
              <w:tl2br w:val="nil"/>
              <w:tr2bl w:val="nil"/>
            </w:tcBorders>
            <w:shd w:val="clear" w:color="auto" w:fill="FFFFFF"/>
            <w:vAlign w:val="center"/>
          </w:tcPr>
          <w:p w14:paraId="3CF0EC4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电池举升机</w:t>
            </w:r>
          </w:p>
        </w:tc>
        <w:tc>
          <w:tcPr>
            <w:tcW w:w="1684" w:type="dxa"/>
            <w:tcBorders>
              <w:tl2br w:val="nil"/>
              <w:tr2bl w:val="nil"/>
            </w:tcBorders>
            <w:shd w:val="clear" w:color="auto" w:fill="FFFFFF"/>
            <w:vAlign w:val="center"/>
          </w:tcPr>
          <w:p w14:paraId="5919EA4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4F776A5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816" w:type="dxa"/>
            <w:vMerge w:val="continue"/>
            <w:tcBorders>
              <w:tl2br w:val="nil"/>
              <w:tr2bl w:val="nil"/>
            </w:tcBorders>
            <w:shd w:val="clear" w:color="auto" w:fill="FFFFFF"/>
            <w:vAlign w:val="center"/>
          </w:tcPr>
          <w:p w14:paraId="4FA6D73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5A202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584DFC1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2416" w:type="dxa"/>
            <w:tcBorders>
              <w:tl2br w:val="nil"/>
              <w:tr2bl w:val="nil"/>
            </w:tcBorders>
            <w:shd w:val="clear" w:color="auto" w:fill="FFFFFF"/>
            <w:vAlign w:val="center"/>
          </w:tcPr>
          <w:p w14:paraId="2E3519E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电池分类平台</w:t>
            </w:r>
          </w:p>
        </w:tc>
        <w:tc>
          <w:tcPr>
            <w:tcW w:w="1684" w:type="dxa"/>
            <w:tcBorders>
              <w:tl2br w:val="nil"/>
              <w:tr2bl w:val="nil"/>
            </w:tcBorders>
            <w:shd w:val="clear" w:color="auto" w:fill="FFFFFF"/>
            <w:vAlign w:val="center"/>
          </w:tcPr>
          <w:p w14:paraId="1030269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64DE411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816" w:type="dxa"/>
            <w:vMerge w:val="continue"/>
            <w:tcBorders>
              <w:tl2br w:val="nil"/>
              <w:tr2bl w:val="nil"/>
            </w:tcBorders>
            <w:shd w:val="clear" w:color="auto" w:fill="FFFFFF"/>
            <w:vAlign w:val="center"/>
          </w:tcPr>
          <w:p w14:paraId="060908F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0D276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1F80C50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2416" w:type="dxa"/>
            <w:tcBorders>
              <w:tl2br w:val="nil"/>
              <w:tr2bl w:val="nil"/>
            </w:tcBorders>
            <w:shd w:val="clear" w:color="auto" w:fill="FFFFFF"/>
            <w:vAlign w:val="center"/>
          </w:tcPr>
          <w:p w14:paraId="0CCD24D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电池高压控制平台</w:t>
            </w:r>
          </w:p>
        </w:tc>
        <w:tc>
          <w:tcPr>
            <w:tcW w:w="1684" w:type="dxa"/>
            <w:tcBorders>
              <w:tl2br w:val="nil"/>
              <w:tr2bl w:val="nil"/>
            </w:tcBorders>
            <w:shd w:val="clear" w:color="auto" w:fill="FFFFFF"/>
            <w:vAlign w:val="center"/>
          </w:tcPr>
          <w:p w14:paraId="493D703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2D6027F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2816" w:type="dxa"/>
            <w:vMerge w:val="continue"/>
            <w:tcBorders>
              <w:tl2br w:val="nil"/>
              <w:tr2bl w:val="nil"/>
            </w:tcBorders>
            <w:shd w:val="clear" w:color="auto" w:fill="FFFFFF"/>
            <w:vAlign w:val="center"/>
          </w:tcPr>
          <w:p w14:paraId="4A11ABE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bl>
    <w:p w14:paraId="5D6340DB">
      <w:pPr>
        <w:keepNext w:val="0"/>
        <w:keepLines w:val="0"/>
        <w:pageBreakBefore w:val="0"/>
        <w:wordWrap/>
        <w:topLinePunct w:val="0"/>
        <w:bidi w:val="0"/>
        <w:spacing w:line="360" w:lineRule="auto"/>
        <w:jc w:val="righ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实训室面积：60</w:t>
      </w:r>
      <w:r>
        <w:rPr>
          <w:rFonts w:hint="eastAsia" w:ascii="宋体" w:hAnsi="宋体" w:eastAsia="宋体" w:cs="宋体"/>
          <w:sz w:val="24"/>
          <w:szCs w:val="24"/>
          <w:highlight w:val="none"/>
          <w:lang w:eastAsia="en-US"/>
        </w:rPr>
        <w:t xml:space="preserve"> m</w:t>
      </w:r>
      <w:r>
        <w:rPr>
          <w:rFonts w:hint="eastAsia" w:ascii="宋体" w:hAnsi="宋体" w:eastAsia="宋体" w:cs="宋体"/>
          <w:sz w:val="24"/>
          <w:szCs w:val="24"/>
          <w:highlight w:val="none"/>
        </w:rPr>
        <w:t xml:space="preserve">2                 </w:t>
      </w:r>
    </w:p>
    <w:p w14:paraId="69049E0D">
      <w:pPr>
        <w:keepNext w:val="0"/>
        <w:keepLines w:val="0"/>
        <w:pageBreakBefore w:val="0"/>
        <w:wordWrap/>
        <w:topLinePunct w:val="0"/>
        <w:bidi w:val="0"/>
        <w:spacing w:after="220" w:line="360" w:lineRule="auto"/>
        <w:jc w:val="both"/>
        <w:outlineLvl w:val="9"/>
        <w:rPr>
          <w:rFonts w:hint="eastAsia" w:ascii="宋体" w:hAnsi="宋体" w:eastAsia="宋体" w:cs="宋体"/>
          <w:sz w:val="24"/>
          <w:szCs w:val="24"/>
          <w:highlight w:val="none"/>
        </w:rPr>
      </w:pPr>
      <w:bookmarkStart w:id="70" w:name="_Toc9561"/>
    </w:p>
    <w:p w14:paraId="61A536FF">
      <w:pPr>
        <w:keepNext w:val="0"/>
        <w:keepLines w:val="0"/>
        <w:pageBreakBefore w:val="0"/>
        <w:wordWrap/>
        <w:topLinePunct w:val="0"/>
        <w:bidi w:val="0"/>
        <w:spacing w:after="220" w:line="360" w:lineRule="auto"/>
        <w:jc w:val="center"/>
        <w:outlineLvl w:val="9"/>
        <w:rPr>
          <w:rFonts w:hint="eastAsia" w:ascii="宋体" w:hAnsi="宋体" w:eastAsia="宋体" w:cs="宋体"/>
          <w:sz w:val="24"/>
          <w:szCs w:val="24"/>
          <w:highlight w:val="none"/>
        </w:rPr>
      </w:pPr>
    </w:p>
    <w:p w14:paraId="4475DEEF">
      <w:pPr>
        <w:keepNext w:val="0"/>
        <w:keepLines w:val="0"/>
        <w:pageBreakBefore w:val="0"/>
        <w:wordWrap/>
        <w:topLinePunct w:val="0"/>
        <w:bidi w:val="0"/>
        <w:spacing w:after="220" w:line="360" w:lineRule="auto"/>
        <w:jc w:val="center"/>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表1</w:t>
      </w:r>
      <w:r>
        <w:rPr>
          <w:rFonts w:hint="eastAsia" w:ascii="宋体" w:hAnsi="宋体" w:eastAsia="宋体" w:cs="宋体"/>
          <w:sz w:val="24"/>
          <w:szCs w:val="24"/>
          <w:highlight w:val="none"/>
          <w:lang w:val="en-US" w:eastAsia="zh-CN"/>
        </w:rPr>
        <w:t>3整车故障诊断</w:t>
      </w:r>
      <w:r>
        <w:rPr>
          <w:rFonts w:hint="eastAsia" w:ascii="宋体" w:hAnsi="宋体" w:eastAsia="宋体" w:cs="宋体"/>
          <w:sz w:val="24"/>
          <w:szCs w:val="24"/>
          <w:highlight w:val="none"/>
        </w:rPr>
        <w:t>实训室</w:t>
      </w:r>
      <w:bookmarkEnd w:id="70"/>
    </w:p>
    <w:p w14:paraId="76514396">
      <w:pPr>
        <w:keepNext w:val="0"/>
        <w:keepLines w:val="0"/>
        <w:pageBreakBefore w:val="0"/>
        <w:wordWrap/>
        <w:topLinePunct w:val="0"/>
        <w:bidi w:val="0"/>
        <w:spacing w:after="220" w:line="360" w:lineRule="auto"/>
        <w:jc w:val="right"/>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实训室面积：</w:t>
      </w:r>
      <w:r>
        <w:rPr>
          <w:rFonts w:hint="eastAsia" w:ascii="宋体" w:hAnsi="宋体" w:eastAsia="宋体" w:cs="宋体"/>
          <w:sz w:val="24"/>
          <w:szCs w:val="24"/>
          <w:highlight w:val="none"/>
          <w:lang w:bidi="en-US"/>
        </w:rPr>
        <w:t>70</w:t>
      </w:r>
      <w:r>
        <w:rPr>
          <w:rFonts w:hint="eastAsia" w:ascii="宋体" w:hAnsi="宋体" w:eastAsia="宋体" w:cs="宋体"/>
          <w:sz w:val="24"/>
          <w:szCs w:val="24"/>
          <w:highlight w:val="none"/>
          <w:lang w:eastAsia="en-US" w:bidi="en-US"/>
        </w:rPr>
        <w:t xml:space="preserve"> m</w:t>
      </w:r>
      <w:r>
        <w:rPr>
          <w:rFonts w:hint="eastAsia" w:ascii="宋体" w:hAnsi="宋体" w:eastAsia="宋体" w:cs="宋体"/>
          <w:sz w:val="24"/>
          <w:szCs w:val="24"/>
          <w:highlight w:val="none"/>
          <w:vertAlign w:val="superscript"/>
          <w:lang w:bidi="en-US"/>
        </w:rPr>
        <w:t>2</w:t>
      </w:r>
    </w:p>
    <w:tbl>
      <w:tblPr>
        <w:tblStyle w:val="11"/>
        <w:tblpPr w:leftFromText="180" w:rightFromText="180" w:vertAnchor="text" w:horzAnchor="page" w:tblpX="1281" w:tblpY="72"/>
        <w:tblOverlap w:val="never"/>
        <w:tblW w:w="928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50"/>
        <w:gridCol w:w="2416"/>
        <w:gridCol w:w="1684"/>
        <w:gridCol w:w="1483"/>
        <w:gridCol w:w="2756"/>
      </w:tblGrid>
      <w:tr w14:paraId="39ED7D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6B3E8D56">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416" w:type="dxa"/>
            <w:tcBorders>
              <w:tl2br w:val="nil"/>
              <w:tr2bl w:val="nil"/>
            </w:tcBorders>
            <w:shd w:val="clear" w:color="auto" w:fill="FFFFFF"/>
            <w:vAlign w:val="center"/>
          </w:tcPr>
          <w:p w14:paraId="5371888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设备名称</w:t>
            </w:r>
          </w:p>
        </w:tc>
        <w:tc>
          <w:tcPr>
            <w:tcW w:w="1684" w:type="dxa"/>
            <w:tcBorders>
              <w:tl2br w:val="nil"/>
              <w:tr2bl w:val="nil"/>
            </w:tcBorders>
            <w:shd w:val="clear" w:color="auto" w:fill="FFFFFF"/>
            <w:vAlign w:val="center"/>
          </w:tcPr>
          <w:p w14:paraId="59D5911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83" w:type="dxa"/>
            <w:tcBorders>
              <w:tl2br w:val="nil"/>
              <w:tr2bl w:val="nil"/>
            </w:tcBorders>
            <w:shd w:val="clear" w:color="auto" w:fill="FFFFFF"/>
            <w:vAlign w:val="center"/>
          </w:tcPr>
          <w:p w14:paraId="068B3A9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756" w:type="dxa"/>
            <w:tcBorders>
              <w:tl2br w:val="nil"/>
              <w:tr2bl w:val="nil"/>
            </w:tcBorders>
            <w:shd w:val="clear" w:color="auto" w:fill="FFFFFF"/>
            <w:vAlign w:val="center"/>
          </w:tcPr>
          <w:p w14:paraId="15148CE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33994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74D1000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416" w:type="dxa"/>
            <w:tcBorders>
              <w:tl2br w:val="nil"/>
              <w:tr2bl w:val="nil"/>
            </w:tcBorders>
            <w:shd w:val="clear" w:color="auto" w:fill="FFFFFF"/>
            <w:vAlign w:val="center"/>
          </w:tcPr>
          <w:p w14:paraId="0F5DCD04">
            <w:pPr>
              <w:pStyle w:val="17"/>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比亚迪</w:t>
            </w:r>
            <w:r>
              <w:rPr>
                <w:rFonts w:hint="eastAsia" w:ascii="宋体" w:hAnsi="宋体" w:eastAsia="宋体" w:cs="宋体"/>
                <w:sz w:val="24"/>
                <w:szCs w:val="24"/>
                <w:highlight w:val="none"/>
                <w:lang w:val="en-US" w:eastAsia="zh-CN"/>
              </w:rPr>
              <w:t>E5</w:t>
            </w:r>
          </w:p>
        </w:tc>
        <w:tc>
          <w:tcPr>
            <w:tcW w:w="1684" w:type="dxa"/>
            <w:tcBorders>
              <w:tl2br w:val="nil"/>
              <w:tr2bl w:val="nil"/>
            </w:tcBorders>
            <w:shd w:val="clear" w:color="auto" w:fill="FFFFFF"/>
            <w:vAlign w:val="center"/>
          </w:tcPr>
          <w:p w14:paraId="3349DBE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66B3F97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1</w:t>
            </w:r>
          </w:p>
        </w:tc>
        <w:tc>
          <w:tcPr>
            <w:tcW w:w="2756" w:type="dxa"/>
            <w:vMerge w:val="restart"/>
            <w:tcBorders>
              <w:tl2br w:val="nil"/>
              <w:tr2bl w:val="nil"/>
            </w:tcBorders>
            <w:shd w:val="clear" w:color="auto" w:fill="FFFFFF"/>
            <w:vAlign w:val="center"/>
          </w:tcPr>
          <w:p w14:paraId="6EB01D8F">
            <w:pPr>
              <w:pStyle w:val="17"/>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eastAsia="zh-CN"/>
              </w:rPr>
              <w:t>主要服务于新能源汽车故障诊断与检修课程的实训教学。</w:t>
            </w:r>
          </w:p>
        </w:tc>
      </w:tr>
      <w:tr w14:paraId="68793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391CE74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2416" w:type="dxa"/>
            <w:tcBorders>
              <w:tl2br w:val="nil"/>
              <w:tr2bl w:val="nil"/>
            </w:tcBorders>
            <w:shd w:val="clear" w:color="auto" w:fill="FFFFFF"/>
            <w:vAlign w:val="center"/>
          </w:tcPr>
          <w:p w14:paraId="28FE8ACC">
            <w:pPr>
              <w:pStyle w:val="17"/>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故障设置平台</w:t>
            </w:r>
          </w:p>
        </w:tc>
        <w:tc>
          <w:tcPr>
            <w:tcW w:w="1684" w:type="dxa"/>
            <w:tcBorders>
              <w:tl2br w:val="nil"/>
              <w:tr2bl w:val="nil"/>
            </w:tcBorders>
            <w:shd w:val="clear" w:color="auto" w:fill="FFFFFF"/>
            <w:vAlign w:val="center"/>
          </w:tcPr>
          <w:p w14:paraId="1D14C51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4798703B">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756" w:type="dxa"/>
            <w:vMerge w:val="continue"/>
            <w:tcBorders>
              <w:tl2br w:val="nil"/>
              <w:tr2bl w:val="nil"/>
            </w:tcBorders>
            <w:shd w:val="clear" w:color="auto" w:fill="FFFFFF"/>
            <w:vAlign w:val="center"/>
          </w:tcPr>
          <w:p w14:paraId="6041AA2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6347F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4D6C940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2416" w:type="dxa"/>
            <w:tcBorders>
              <w:tl2br w:val="nil"/>
              <w:tr2bl w:val="nil"/>
            </w:tcBorders>
            <w:shd w:val="clear" w:color="auto" w:fill="FFFFFF"/>
            <w:vAlign w:val="center"/>
          </w:tcPr>
          <w:p w14:paraId="4A2C4570">
            <w:pPr>
              <w:pStyle w:val="17"/>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动力电池总成</w:t>
            </w:r>
          </w:p>
        </w:tc>
        <w:tc>
          <w:tcPr>
            <w:tcW w:w="1684" w:type="dxa"/>
            <w:tcBorders>
              <w:tl2br w:val="nil"/>
              <w:tr2bl w:val="nil"/>
            </w:tcBorders>
            <w:shd w:val="clear" w:color="auto" w:fill="FFFFFF"/>
            <w:vAlign w:val="center"/>
          </w:tcPr>
          <w:p w14:paraId="0864EF3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3124A777">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756" w:type="dxa"/>
            <w:vMerge w:val="continue"/>
            <w:tcBorders>
              <w:tl2br w:val="nil"/>
              <w:tr2bl w:val="nil"/>
            </w:tcBorders>
            <w:shd w:val="clear" w:color="auto" w:fill="FFFFFF"/>
            <w:vAlign w:val="center"/>
          </w:tcPr>
          <w:p w14:paraId="1DE1CF07">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41C61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7E0B6EE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2416" w:type="dxa"/>
            <w:tcBorders>
              <w:tl2br w:val="nil"/>
              <w:tr2bl w:val="nil"/>
            </w:tcBorders>
            <w:shd w:val="clear" w:color="auto" w:fill="FFFFFF"/>
            <w:vAlign w:val="center"/>
          </w:tcPr>
          <w:p w14:paraId="48933804">
            <w:pPr>
              <w:pStyle w:val="17"/>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驱动系统总成</w:t>
            </w:r>
          </w:p>
        </w:tc>
        <w:tc>
          <w:tcPr>
            <w:tcW w:w="1684" w:type="dxa"/>
            <w:tcBorders>
              <w:tl2br w:val="nil"/>
              <w:tr2bl w:val="nil"/>
            </w:tcBorders>
            <w:shd w:val="clear" w:color="auto" w:fill="FFFFFF"/>
            <w:vAlign w:val="center"/>
          </w:tcPr>
          <w:p w14:paraId="46DFF08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5C1E87D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756" w:type="dxa"/>
            <w:vMerge w:val="continue"/>
            <w:tcBorders>
              <w:tl2br w:val="nil"/>
              <w:tr2bl w:val="nil"/>
            </w:tcBorders>
            <w:shd w:val="clear" w:color="auto" w:fill="FFFFFF"/>
            <w:vAlign w:val="center"/>
          </w:tcPr>
          <w:p w14:paraId="352C6F8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0EA118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57C9A14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2416" w:type="dxa"/>
            <w:tcBorders>
              <w:tl2br w:val="nil"/>
              <w:tr2bl w:val="nil"/>
            </w:tcBorders>
            <w:shd w:val="clear" w:color="auto" w:fill="FFFFFF"/>
            <w:vAlign w:val="center"/>
          </w:tcPr>
          <w:p w14:paraId="07F5153C">
            <w:pPr>
              <w:pStyle w:val="17"/>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低压电器系统总成</w:t>
            </w:r>
          </w:p>
        </w:tc>
        <w:tc>
          <w:tcPr>
            <w:tcW w:w="1684" w:type="dxa"/>
            <w:tcBorders>
              <w:tl2br w:val="nil"/>
              <w:tr2bl w:val="nil"/>
            </w:tcBorders>
            <w:shd w:val="clear" w:color="auto" w:fill="FFFFFF"/>
            <w:vAlign w:val="center"/>
          </w:tcPr>
          <w:p w14:paraId="60CD109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4030116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756" w:type="dxa"/>
            <w:vMerge w:val="continue"/>
            <w:tcBorders>
              <w:tl2br w:val="nil"/>
              <w:tr2bl w:val="nil"/>
            </w:tcBorders>
            <w:shd w:val="clear" w:color="auto" w:fill="FFFFFF"/>
            <w:vAlign w:val="center"/>
          </w:tcPr>
          <w:p w14:paraId="6D9C9F77">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06A5A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05A05C3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2416" w:type="dxa"/>
            <w:tcBorders>
              <w:tl2br w:val="nil"/>
              <w:tr2bl w:val="nil"/>
            </w:tcBorders>
            <w:shd w:val="clear" w:color="auto" w:fill="FFFFFF"/>
            <w:vAlign w:val="center"/>
          </w:tcPr>
          <w:p w14:paraId="38AAB1C6">
            <w:pPr>
              <w:pStyle w:val="17"/>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空调系统</w:t>
            </w:r>
          </w:p>
        </w:tc>
        <w:tc>
          <w:tcPr>
            <w:tcW w:w="1684" w:type="dxa"/>
            <w:tcBorders>
              <w:tl2br w:val="nil"/>
              <w:tr2bl w:val="nil"/>
            </w:tcBorders>
            <w:shd w:val="clear" w:color="auto" w:fill="FFFFFF"/>
            <w:vAlign w:val="center"/>
          </w:tcPr>
          <w:p w14:paraId="766AC011">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3F3288A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756" w:type="dxa"/>
            <w:vMerge w:val="continue"/>
            <w:tcBorders>
              <w:tl2br w:val="nil"/>
              <w:tr2bl w:val="nil"/>
            </w:tcBorders>
            <w:shd w:val="clear" w:color="auto" w:fill="FFFFFF"/>
            <w:vAlign w:val="center"/>
          </w:tcPr>
          <w:p w14:paraId="6A8387D9">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548A1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50" w:type="dxa"/>
            <w:tcBorders>
              <w:tl2br w:val="nil"/>
              <w:tr2bl w:val="nil"/>
            </w:tcBorders>
            <w:shd w:val="clear" w:color="auto" w:fill="FFFFFF"/>
            <w:vAlign w:val="center"/>
          </w:tcPr>
          <w:p w14:paraId="352786C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p>
        </w:tc>
        <w:tc>
          <w:tcPr>
            <w:tcW w:w="2416" w:type="dxa"/>
            <w:tcBorders>
              <w:tl2br w:val="nil"/>
              <w:tr2bl w:val="nil"/>
            </w:tcBorders>
            <w:shd w:val="clear" w:color="auto" w:fill="FFFFFF"/>
            <w:vAlign w:val="center"/>
          </w:tcPr>
          <w:p w14:paraId="4F42F628">
            <w:pPr>
              <w:pStyle w:val="17"/>
              <w:keepNext w:val="0"/>
              <w:keepLines w:val="0"/>
              <w:pageBreakBefore w:val="0"/>
              <w:widowControl w:val="0"/>
              <w:kinsoku/>
              <w:wordWrap/>
              <w:overflowPunct/>
              <w:topLinePunct w:val="0"/>
              <w:autoSpaceDE/>
              <w:autoSpaceDN/>
              <w:bidi w:val="0"/>
              <w:adjustRightInd/>
              <w:snapToGrid/>
              <w:spacing w:line="360" w:lineRule="auto"/>
              <w:jc w:val="both"/>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转向系统</w:t>
            </w:r>
          </w:p>
        </w:tc>
        <w:tc>
          <w:tcPr>
            <w:tcW w:w="1684" w:type="dxa"/>
            <w:tcBorders>
              <w:tl2br w:val="nil"/>
              <w:tr2bl w:val="nil"/>
            </w:tcBorders>
            <w:shd w:val="clear" w:color="auto" w:fill="FFFFFF"/>
            <w:vAlign w:val="center"/>
          </w:tcPr>
          <w:p w14:paraId="350E3FA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83" w:type="dxa"/>
            <w:tcBorders>
              <w:tl2br w:val="nil"/>
              <w:tr2bl w:val="nil"/>
            </w:tcBorders>
            <w:shd w:val="clear" w:color="auto" w:fill="FFFFFF"/>
            <w:vAlign w:val="center"/>
          </w:tcPr>
          <w:p w14:paraId="1908EA87">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756" w:type="dxa"/>
            <w:vMerge w:val="continue"/>
            <w:tcBorders>
              <w:tl2br w:val="nil"/>
              <w:tr2bl w:val="nil"/>
            </w:tcBorders>
            <w:shd w:val="clear" w:color="auto" w:fill="FFFFFF"/>
            <w:vAlign w:val="center"/>
          </w:tcPr>
          <w:p w14:paraId="45CD059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bl>
    <w:p w14:paraId="7AEF1D98">
      <w:pPr>
        <w:pStyle w:val="19"/>
        <w:keepNext w:val="0"/>
        <w:keepLines w:val="0"/>
        <w:pageBreakBefore w:val="0"/>
        <w:wordWrap/>
        <w:topLinePunct w:val="0"/>
        <w:bidi w:val="0"/>
        <w:spacing w:line="360" w:lineRule="auto"/>
        <w:ind w:left="0" w:leftChars="0" w:firstLine="0" w:firstLineChars="0"/>
        <w:outlineLvl w:val="9"/>
        <w:rPr>
          <w:rFonts w:hint="eastAsia" w:ascii="宋体" w:hAnsi="宋体" w:eastAsia="宋体" w:cs="宋体"/>
          <w:sz w:val="24"/>
          <w:szCs w:val="24"/>
          <w:highlight w:val="none"/>
          <w:lang w:eastAsia="zh-CN"/>
        </w:rPr>
      </w:pPr>
    </w:p>
    <w:p w14:paraId="4D3021DD">
      <w:pPr>
        <w:keepNext w:val="0"/>
        <w:keepLines w:val="0"/>
        <w:pageBreakBefore w:val="0"/>
        <w:wordWrap/>
        <w:topLinePunct w:val="0"/>
        <w:bidi w:val="0"/>
        <w:adjustRightInd w:val="0"/>
        <w:spacing w:line="360" w:lineRule="auto"/>
        <w:jc w:val="center"/>
        <w:outlineLvl w:val="9"/>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14汽车电工电子</w:t>
      </w:r>
      <w:r>
        <w:rPr>
          <w:rFonts w:hint="eastAsia" w:ascii="宋体" w:hAnsi="宋体" w:eastAsia="宋体" w:cs="宋体"/>
          <w:sz w:val="24"/>
          <w:szCs w:val="24"/>
          <w:highlight w:val="none"/>
        </w:rPr>
        <w:t>实训室</w:t>
      </w:r>
    </w:p>
    <w:tbl>
      <w:tblPr>
        <w:tblStyle w:val="11"/>
        <w:tblpPr w:leftFromText="180" w:rightFromText="180" w:vertAnchor="text" w:horzAnchor="page" w:tblpX="1281" w:tblpY="1017"/>
        <w:tblOverlap w:val="never"/>
        <w:tblW w:w="93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66"/>
        <w:gridCol w:w="2400"/>
        <w:gridCol w:w="1684"/>
        <w:gridCol w:w="1483"/>
        <w:gridCol w:w="2816"/>
      </w:tblGrid>
      <w:tr w14:paraId="075316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09" w:hRule="atLeast"/>
        </w:trPr>
        <w:tc>
          <w:tcPr>
            <w:tcW w:w="966" w:type="dxa"/>
            <w:tcBorders>
              <w:tl2br w:val="nil"/>
              <w:tr2bl w:val="nil"/>
            </w:tcBorders>
            <w:shd w:val="clear" w:color="auto" w:fill="FFFFFF"/>
            <w:vAlign w:val="center"/>
          </w:tcPr>
          <w:p w14:paraId="5D9FE807">
            <w:pPr>
              <w:pStyle w:val="17"/>
              <w:keepNext w:val="0"/>
              <w:keepLines w:val="0"/>
              <w:pageBreakBefore w:val="0"/>
              <w:widowControl w:val="0"/>
              <w:kinsoku/>
              <w:wordWrap/>
              <w:overflowPunct/>
              <w:topLinePunct w:val="0"/>
              <w:autoSpaceDE/>
              <w:autoSpaceDN/>
              <w:bidi w:val="0"/>
              <w:adjustRightInd/>
              <w:snapToGrid/>
              <w:spacing w:line="360" w:lineRule="auto"/>
              <w:ind w:firstLine="240" w:firstLineChars="100"/>
              <w:jc w:val="both"/>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400" w:type="dxa"/>
            <w:tcBorders>
              <w:tl2br w:val="nil"/>
              <w:tr2bl w:val="nil"/>
            </w:tcBorders>
            <w:shd w:val="clear" w:color="auto" w:fill="FFFFFF"/>
            <w:vAlign w:val="center"/>
          </w:tcPr>
          <w:p w14:paraId="7CC107A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设备名称</w:t>
            </w:r>
          </w:p>
        </w:tc>
        <w:tc>
          <w:tcPr>
            <w:tcW w:w="1684" w:type="dxa"/>
            <w:tcBorders>
              <w:tl2br w:val="nil"/>
              <w:tr2bl w:val="nil"/>
            </w:tcBorders>
            <w:shd w:val="clear" w:color="auto" w:fill="FFFFFF"/>
            <w:vAlign w:val="center"/>
          </w:tcPr>
          <w:p w14:paraId="3C9F85F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83" w:type="dxa"/>
            <w:tcBorders>
              <w:tl2br w:val="nil"/>
              <w:tr2bl w:val="nil"/>
            </w:tcBorders>
            <w:shd w:val="clear" w:color="auto" w:fill="FFFFFF"/>
            <w:vAlign w:val="center"/>
          </w:tcPr>
          <w:p w14:paraId="0AD33A8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816" w:type="dxa"/>
            <w:tcBorders>
              <w:tl2br w:val="nil"/>
              <w:tr2bl w:val="nil"/>
            </w:tcBorders>
            <w:shd w:val="clear" w:color="auto" w:fill="FFFFFF"/>
            <w:vAlign w:val="center"/>
          </w:tcPr>
          <w:p w14:paraId="53CA4E49">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177CA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66" w:type="dxa"/>
            <w:tcBorders>
              <w:tl2br w:val="nil"/>
              <w:tr2bl w:val="nil"/>
            </w:tcBorders>
            <w:shd w:val="clear" w:color="auto" w:fill="FFFFFF"/>
            <w:vAlign w:val="center"/>
          </w:tcPr>
          <w:p w14:paraId="608C08F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400" w:type="dxa"/>
            <w:tcBorders>
              <w:tl2br w:val="nil"/>
              <w:tr2bl w:val="nil"/>
            </w:tcBorders>
            <w:shd w:val="clear" w:color="auto" w:fill="FFFFFF"/>
            <w:vAlign w:val="center"/>
          </w:tcPr>
          <w:p w14:paraId="0160F0D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电子元件套装</w:t>
            </w:r>
          </w:p>
        </w:tc>
        <w:tc>
          <w:tcPr>
            <w:tcW w:w="1684" w:type="dxa"/>
            <w:tcBorders>
              <w:tl2br w:val="nil"/>
              <w:tr2bl w:val="nil"/>
            </w:tcBorders>
            <w:shd w:val="clear" w:color="auto" w:fill="FFFFFF"/>
            <w:vAlign w:val="center"/>
          </w:tcPr>
          <w:p w14:paraId="7CA9CFF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套</w:t>
            </w:r>
          </w:p>
        </w:tc>
        <w:tc>
          <w:tcPr>
            <w:tcW w:w="1483" w:type="dxa"/>
            <w:tcBorders>
              <w:tl2br w:val="nil"/>
              <w:tr2bl w:val="nil"/>
            </w:tcBorders>
            <w:shd w:val="clear" w:color="auto" w:fill="FFFFFF"/>
            <w:vAlign w:val="center"/>
          </w:tcPr>
          <w:p w14:paraId="0330AF1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val="en-US" w:eastAsia="zh-CN"/>
              </w:rPr>
              <w:t>4</w:t>
            </w:r>
          </w:p>
        </w:tc>
        <w:tc>
          <w:tcPr>
            <w:tcW w:w="2816" w:type="dxa"/>
            <w:vMerge w:val="restart"/>
            <w:tcBorders>
              <w:tl2br w:val="nil"/>
              <w:tr2bl w:val="nil"/>
            </w:tcBorders>
            <w:shd w:val="clear" w:color="auto" w:fill="FFFFFF"/>
            <w:vAlign w:val="center"/>
          </w:tcPr>
          <w:p w14:paraId="34FE9C79">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主要服务于汽车电力电子基础的实训教学</w:t>
            </w:r>
          </w:p>
        </w:tc>
      </w:tr>
      <w:tr w14:paraId="04D8A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66" w:type="dxa"/>
            <w:tcBorders>
              <w:tl2br w:val="nil"/>
              <w:tr2bl w:val="nil"/>
            </w:tcBorders>
            <w:shd w:val="clear" w:color="auto" w:fill="FFFFFF"/>
            <w:vAlign w:val="center"/>
          </w:tcPr>
          <w:p w14:paraId="7651A9F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2400" w:type="dxa"/>
            <w:tcBorders>
              <w:tl2br w:val="nil"/>
              <w:tr2bl w:val="nil"/>
            </w:tcBorders>
            <w:shd w:val="clear" w:color="auto" w:fill="FFFFFF"/>
            <w:vAlign w:val="center"/>
          </w:tcPr>
          <w:p w14:paraId="2C68688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电子元件检测台</w:t>
            </w:r>
          </w:p>
        </w:tc>
        <w:tc>
          <w:tcPr>
            <w:tcW w:w="1684" w:type="dxa"/>
            <w:tcBorders>
              <w:tl2br w:val="nil"/>
              <w:tr2bl w:val="nil"/>
            </w:tcBorders>
            <w:shd w:val="clear" w:color="auto" w:fill="FFFFFF"/>
            <w:vAlign w:val="center"/>
          </w:tcPr>
          <w:p w14:paraId="723A6B23">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83" w:type="dxa"/>
            <w:tcBorders>
              <w:tl2br w:val="nil"/>
              <w:tr2bl w:val="nil"/>
            </w:tcBorders>
            <w:shd w:val="clear" w:color="auto" w:fill="FFFFFF"/>
            <w:vAlign w:val="center"/>
          </w:tcPr>
          <w:p w14:paraId="38B6251B">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2816" w:type="dxa"/>
            <w:vMerge w:val="continue"/>
            <w:tcBorders>
              <w:tl2br w:val="nil"/>
              <w:tr2bl w:val="nil"/>
            </w:tcBorders>
            <w:shd w:val="clear" w:color="auto" w:fill="FFFFFF"/>
            <w:vAlign w:val="center"/>
          </w:tcPr>
          <w:p w14:paraId="12279DF8">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r w14:paraId="7D90B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66" w:type="dxa"/>
            <w:tcBorders>
              <w:tl2br w:val="nil"/>
              <w:tr2bl w:val="nil"/>
            </w:tcBorders>
            <w:shd w:val="clear" w:color="auto" w:fill="FFFFFF"/>
            <w:vAlign w:val="center"/>
          </w:tcPr>
          <w:p w14:paraId="53F2456A">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2400" w:type="dxa"/>
            <w:tcBorders>
              <w:tl2br w:val="nil"/>
              <w:tr2bl w:val="nil"/>
            </w:tcBorders>
            <w:shd w:val="clear" w:color="auto" w:fill="FFFFFF"/>
            <w:vAlign w:val="center"/>
          </w:tcPr>
          <w:p w14:paraId="1C2F53B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高压防护套装</w:t>
            </w:r>
          </w:p>
        </w:tc>
        <w:tc>
          <w:tcPr>
            <w:tcW w:w="1684" w:type="dxa"/>
            <w:tcBorders>
              <w:tl2br w:val="nil"/>
              <w:tr2bl w:val="nil"/>
            </w:tcBorders>
            <w:shd w:val="clear" w:color="auto" w:fill="FFFFFF"/>
            <w:vAlign w:val="center"/>
          </w:tcPr>
          <w:p w14:paraId="2BDEEA8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套</w:t>
            </w:r>
          </w:p>
        </w:tc>
        <w:tc>
          <w:tcPr>
            <w:tcW w:w="1483" w:type="dxa"/>
            <w:tcBorders>
              <w:tl2br w:val="nil"/>
              <w:tr2bl w:val="nil"/>
            </w:tcBorders>
            <w:shd w:val="clear" w:color="auto" w:fill="FFFFFF"/>
            <w:vAlign w:val="center"/>
          </w:tcPr>
          <w:p w14:paraId="1B0D636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2816" w:type="dxa"/>
            <w:vMerge w:val="continue"/>
            <w:tcBorders>
              <w:tl2br w:val="nil"/>
              <w:tr2bl w:val="nil"/>
            </w:tcBorders>
            <w:shd w:val="clear" w:color="auto" w:fill="FFFFFF"/>
            <w:vAlign w:val="center"/>
          </w:tcPr>
          <w:p w14:paraId="02A0F04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p>
        </w:tc>
      </w:tr>
    </w:tbl>
    <w:p w14:paraId="16E62317">
      <w:pPr>
        <w:keepNext w:val="0"/>
        <w:keepLines w:val="0"/>
        <w:pageBreakBefore w:val="0"/>
        <w:wordWrap/>
        <w:topLinePunct w:val="0"/>
        <w:bidi w:val="0"/>
        <w:spacing w:line="360" w:lineRule="auto"/>
        <w:jc w:val="right"/>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实训室面积：</w:t>
      </w:r>
      <w:r>
        <w:rPr>
          <w:rFonts w:hint="eastAsia" w:ascii="宋体" w:hAnsi="宋体" w:eastAsia="宋体" w:cs="宋体"/>
          <w:sz w:val="24"/>
          <w:szCs w:val="24"/>
          <w:highlight w:val="none"/>
          <w:lang w:val="en-US" w:eastAsia="zh-CN"/>
        </w:rPr>
        <w:t>120</w:t>
      </w:r>
      <w:r>
        <w:rPr>
          <w:rFonts w:hint="eastAsia" w:ascii="宋体" w:hAnsi="宋体" w:eastAsia="宋体" w:cs="宋体"/>
          <w:sz w:val="24"/>
          <w:szCs w:val="24"/>
          <w:highlight w:val="none"/>
          <w:lang w:eastAsia="en-US"/>
        </w:rPr>
        <w:t xml:space="preserve"> m</w:t>
      </w:r>
      <w:r>
        <w:rPr>
          <w:rFonts w:hint="eastAsia" w:ascii="宋体" w:hAnsi="宋体" w:eastAsia="宋体" w:cs="宋体"/>
          <w:sz w:val="24"/>
          <w:szCs w:val="24"/>
          <w:highlight w:val="none"/>
        </w:rPr>
        <w:t xml:space="preserve">2                 </w:t>
      </w:r>
    </w:p>
    <w:p w14:paraId="404FF077">
      <w:pPr>
        <w:pStyle w:val="19"/>
        <w:keepNext w:val="0"/>
        <w:keepLines w:val="0"/>
        <w:pageBreakBefore w:val="0"/>
        <w:wordWrap/>
        <w:topLinePunct w:val="0"/>
        <w:bidi w:val="0"/>
        <w:spacing w:line="360" w:lineRule="auto"/>
        <w:ind w:left="0" w:leftChars="0" w:firstLine="0" w:firstLineChars="0"/>
        <w:outlineLvl w:val="9"/>
        <w:rPr>
          <w:rFonts w:hint="eastAsia" w:ascii="宋体" w:hAnsi="宋体" w:eastAsia="宋体" w:cs="宋体"/>
          <w:sz w:val="24"/>
          <w:szCs w:val="24"/>
          <w:highlight w:val="none"/>
          <w:lang w:eastAsia="zh-CN"/>
        </w:rPr>
      </w:pPr>
    </w:p>
    <w:p w14:paraId="05821480">
      <w:pPr>
        <w:keepNext w:val="0"/>
        <w:keepLines w:val="0"/>
        <w:pageBreakBefore w:val="0"/>
        <w:wordWrap/>
        <w:topLinePunct w:val="0"/>
        <w:bidi w:val="0"/>
        <w:adjustRightInd w:val="0"/>
        <w:spacing w:line="360" w:lineRule="auto"/>
        <w:jc w:val="center"/>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rPr>
        <w:t>表</w:t>
      </w:r>
      <w:r>
        <w:rPr>
          <w:rFonts w:hint="eastAsia" w:ascii="宋体" w:hAnsi="宋体" w:eastAsia="宋体" w:cs="宋体"/>
          <w:sz w:val="24"/>
          <w:szCs w:val="24"/>
          <w:highlight w:val="none"/>
          <w:lang w:val="en-US" w:eastAsia="zh-CN"/>
        </w:rPr>
        <w:t>14整车维护</w:t>
      </w:r>
      <w:r>
        <w:rPr>
          <w:rFonts w:hint="eastAsia" w:ascii="宋体" w:hAnsi="宋体" w:eastAsia="宋体" w:cs="宋体"/>
          <w:sz w:val="24"/>
          <w:szCs w:val="24"/>
          <w:highlight w:val="none"/>
        </w:rPr>
        <w:t>实训室</w:t>
      </w:r>
    </w:p>
    <w:tbl>
      <w:tblPr>
        <w:tblStyle w:val="11"/>
        <w:tblpPr w:leftFromText="180" w:rightFromText="180" w:vertAnchor="text" w:horzAnchor="page" w:tblpX="1281" w:tblpY="434"/>
        <w:tblOverlap w:val="never"/>
        <w:tblW w:w="95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983"/>
        <w:gridCol w:w="2383"/>
        <w:gridCol w:w="1684"/>
        <w:gridCol w:w="1466"/>
        <w:gridCol w:w="2989"/>
      </w:tblGrid>
      <w:tr w14:paraId="63E91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809" w:hRule="atLeast"/>
        </w:trPr>
        <w:tc>
          <w:tcPr>
            <w:tcW w:w="983" w:type="dxa"/>
            <w:tcBorders>
              <w:tl2br w:val="nil"/>
              <w:tr2bl w:val="nil"/>
            </w:tcBorders>
            <w:shd w:val="clear" w:color="auto" w:fill="FFFFFF"/>
            <w:vAlign w:val="center"/>
          </w:tcPr>
          <w:p w14:paraId="60E65E27">
            <w:pPr>
              <w:pStyle w:val="17"/>
              <w:keepNext w:val="0"/>
              <w:keepLines w:val="0"/>
              <w:pageBreakBefore w:val="0"/>
              <w:widowControl w:val="0"/>
              <w:kinsoku/>
              <w:wordWrap/>
              <w:overflowPunct/>
              <w:topLinePunct w:val="0"/>
              <w:autoSpaceDE/>
              <w:autoSpaceDN/>
              <w:bidi w:val="0"/>
              <w:adjustRightInd/>
              <w:snapToGrid/>
              <w:spacing w:line="360" w:lineRule="auto"/>
              <w:ind w:firstLine="240" w:firstLineChars="100"/>
              <w:jc w:val="both"/>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2383" w:type="dxa"/>
            <w:tcBorders>
              <w:tl2br w:val="nil"/>
              <w:tr2bl w:val="nil"/>
            </w:tcBorders>
            <w:shd w:val="clear" w:color="auto" w:fill="FFFFFF"/>
            <w:vAlign w:val="center"/>
          </w:tcPr>
          <w:p w14:paraId="3DE9EC5F">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设备名称</w:t>
            </w:r>
          </w:p>
        </w:tc>
        <w:tc>
          <w:tcPr>
            <w:tcW w:w="1684" w:type="dxa"/>
            <w:tcBorders>
              <w:tl2br w:val="nil"/>
              <w:tr2bl w:val="nil"/>
            </w:tcBorders>
            <w:shd w:val="clear" w:color="auto" w:fill="FFFFFF"/>
            <w:vAlign w:val="center"/>
          </w:tcPr>
          <w:p w14:paraId="03388781">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1466" w:type="dxa"/>
            <w:tcBorders>
              <w:tl2br w:val="nil"/>
              <w:tr2bl w:val="nil"/>
            </w:tcBorders>
            <w:shd w:val="clear" w:color="auto" w:fill="FFFFFF"/>
            <w:vAlign w:val="center"/>
          </w:tcPr>
          <w:p w14:paraId="3C462F4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2989" w:type="dxa"/>
            <w:tcBorders>
              <w:tl2br w:val="nil"/>
              <w:tr2bl w:val="nil"/>
            </w:tcBorders>
            <w:shd w:val="clear" w:color="auto" w:fill="FFFFFF"/>
            <w:vAlign w:val="center"/>
          </w:tcPr>
          <w:p w14:paraId="6E5AE55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功能</w:t>
            </w:r>
          </w:p>
        </w:tc>
      </w:tr>
      <w:tr w14:paraId="45D2F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83" w:type="dxa"/>
            <w:tcBorders>
              <w:tl2br w:val="nil"/>
              <w:tr2bl w:val="nil"/>
            </w:tcBorders>
            <w:shd w:val="clear" w:color="auto" w:fill="FFFFFF"/>
            <w:vAlign w:val="center"/>
          </w:tcPr>
          <w:p w14:paraId="7AEE801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2383" w:type="dxa"/>
            <w:tcBorders>
              <w:tl2br w:val="nil"/>
              <w:tr2bl w:val="nil"/>
            </w:tcBorders>
            <w:shd w:val="clear" w:color="auto" w:fill="FFFFFF"/>
            <w:vAlign w:val="center"/>
          </w:tcPr>
          <w:p w14:paraId="1843D2C1">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吉利新能源汽车</w:t>
            </w:r>
          </w:p>
        </w:tc>
        <w:tc>
          <w:tcPr>
            <w:tcW w:w="1684" w:type="dxa"/>
            <w:tcBorders>
              <w:tl2br w:val="nil"/>
              <w:tr2bl w:val="nil"/>
            </w:tcBorders>
            <w:shd w:val="clear" w:color="auto" w:fill="FFFFFF"/>
            <w:vAlign w:val="center"/>
          </w:tcPr>
          <w:p w14:paraId="7C6F2FDB">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rPr>
            </w:pPr>
            <w:r>
              <w:rPr>
                <w:rFonts w:hint="eastAsia" w:ascii="宋体" w:hAnsi="宋体" w:eastAsia="宋体" w:cs="宋体"/>
                <w:sz w:val="24"/>
                <w:szCs w:val="24"/>
                <w:highlight w:val="none"/>
              </w:rPr>
              <w:t>台</w:t>
            </w:r>
          </w:p>
        </w:tc>
        <w:tc>
          <w:tcPr>
            <w:tcW w:w="1466" w:type="dxa"/>
            <w:tcBorders>
              <w:tl2br w:val="nil"/>
              <w:tr2bl w:val="nil"/>
            </w:tcBorders>
            <w:shd w:val="clear" w:color="auto" w:fill="FFFFFF"/>
            <w:vAlign w:val="center"/>
          </w:tcPr>
          <w:p w14:paraId="6186064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8</w:t>
            </w:r>
          </w:p>
        </w:tc>
        <w:tc>
          <w:tcPr>
            <w:tcW w:w="2989" w:type="dxa"/>
            <w:vMerge w:val="restart"/>
            <w:tcBorders>
              <w:tl2br w:val="nil"/>
              <w:tr2bl w:val="nil"/>
            </w:tcBorders>
            <w:shd w:val="clear" w:color="auto" w:fill="FFFFFF"/>
            <w:vAlign w:val="center"/>
          </w:tcPr>
          <w:p w14:paraId="6E67233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napToGrid w:val="0"/>
                <w:color w:val="000000"/>
                <w:kern w:val="0"/>
                <w:sz w:val="24"/>
                <w:szCs w:val="24"/>
                <w:lang w:val="en-US" w:eastAsia="zh-CN" w:bidi="ar-SA"/>
              </w:rPr>
              <w:t>主要服务于新能源汽车的维护实训教学</w:t>
            </w:r>
          </w:p>
        </w:tc>
      </w:tr>
      <w:tr w14:paraId="10629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83" w:type="dxa"/>
            <w:tcBorders>
              <w:tl2br w:val="nil"/>
              <w:tr2bl w:val="nil"/>
            </w:tcBorders>
            <w:shd w:val="clear" w:color="auto" w:fill="FFFFFF"/>
            <w:vAlign w:val="center"/>
          </w:tcPr>
          <w:p w14:paraId="597AA5EE">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bookmarkStart w:id="71" w:name="_Toc20822"/>
            <w:bookmarkStart w:id="72" w:name="_Toc8054"/>
            <w:bookmarkStart w:id="73" w:name="_Toc3718_WPSOffice_Level3"/>
            <w:bookmarkStart w:id="74" w:name="_Toc31906_WPSOffice_Level3"/>
            <w:bookmarkStart w:id="75" w:name="_Toc5529_WPSOffice_Level3"/>
            <w:bookmarkStart w:id="76" w:name="bookmark65"/>
            <w:bookmarkStart w:id="77" w:name="bookmark66"/>
            <w:bookmarkStart w:id="78" w:name="bookmark67"/>
            <w:r>
              <w:rPr>
                <w:rFonts w:hint="eastAsia" w:ascii="宋体" w:hAnsi="宋体" w:eastAsia="宋体" w:cs="宋体"/>
                <w:sz w:val="24"/>
                <w:szCs w:val="24"/>
                <w:highlight w:val="none"/>
                <w:lang w:val="en-US" w:eastAsia="zh-CN"/>
              </w:rPr>
              <w:t>2</w:t>
            </w:r>
          </w:p>
        </w:tc>
        <w:tc>
          <w:tcPr>
            <w:tcW w:w="2383" w:type="dxa"/>
            <w:tcBorders>
              <w:tl2br w:val="nil"/>
              <w:tr2bl w:val="nil"/>
            </w:tcBorders>
            <w:shd w:val="clear" w:color="auto" w:fill="FFFFFF"/>
            <w:vAlign w:val="center"/>
          </w:tcPr>
          <w:p w14:paraId="1DBAAC63">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举升机</w:t>
            </w:r>
          </w:p>
        </w:tc>
        <w:tc>
          <w:tcPr>
            <w:tcW w:w="1684" w:type="dxa"/>
            <w:tcBorders>
              <w:tl2br w:val="nil"/>
              <w:tr2bl w:val="nil"/>
            </w:tcBorders>
            <w:shd w:val="clear" w:color="auto" w:fill="FFFFFF"/>
            <w:vAlign w:val="center"/>
          </w:tcPr>
          <w:p w14:paraId="346CA3F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66" w:type="dxa"/>
            <w:tcBorders>
              <w:tl2br w:val="nil"/>
              <w:tr2bl w:val="nil"/>
            </w:tcBorders>
            <w:shd w:val="clear" w:color="auto" w:fill="FFFFFF"/>
            <w:vAlign w:val="center"/>
          </w:tcPr>
          <w:p w14:paraId="3A2C03B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2989" w:type="dxa"/>
            <w:vMerge w:val="continue"/>
            <w:tcBorders>
              <w:tl2br w:val="nil"/>
              <w:tr2bl w:val="nil"/>
            </w:tcBorders>
            <w:shd w:val="clear" w:color="auto" w:fill="FFFFFF"/>
            <w:vAlign w:val="center"/>
          </w:tcPr>
          <w:p w14:paraId="13458656">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lang w:val="en-US" w:eastAsia="zh-CN" w:bidi="ar-SA"/>
              </w:rPr>
            </w:pPr>
          </w:p>
        </w:tc>
      </w:tr>
      <w:tr w14:paraId="2764F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983" w:type="dxa"/>
            <w:tcBorders>
              <w:tl2br w:val="nil"/>
              <w:tr2bl w:val="nil"/>
            </w:tcBorders>
            <w:shd w:val="clear" w:color="auto" w:fill="FFFFFF"/>
            <w:vAlign w:val="center"/>
          </w:tcPr>
          <w:p w14:paraId="6BBDE976">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p>
        </w:tc>
        <w:tc>
          <w:tcPr>
            <w:tcW w:w="2383" w:type="dxa"/>
            <w:tcBorders>
              <w:tl2br w:val="nil"/>
              <w:tr2bl w:val="nil"/>
            </w:tcBorders>
            <w:shd w:val="clear" w:color="auto" w:fill="FFFFFF"/>
            <w:vAlign w:val="center"/>
          </w:tcPr>
          <w:p w14:paraId="6563A6EC">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四轮定位仪</w:t>
            </w:r>
          </w:p>
        </w:tc>
        <w:tc>
          <w:tcPr>
            <w:tcW w:w="1684" w:type="dxa"/>
            <w:tcBorders>
              <w:tl2br w:val="nil"/>
              <w:tr2bl w:val="nil"/>
            </w:tcBorders>
            <w:shd w:val="clear" w:color="auto" w:fill="FFFFFF"/>
            <w:vAlign w:val="center"/>
          </w:tcPr>
          <w:p w14:paraId="55D1B394">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台</w:t>
            </w:r>
          </w:p>
        </w:tc>
        <w:tc>
          <w:tcPr>
            <w:tcW w:w="1466" w:type="dxa"/>
            <w:tcBorders>
              <w:tl2br w:val="nil"/>
              <w:tr2bl w:val="nil"/>
            </w:tcBorders>
            <w:shd w:val="clear" w:color="auto" w:fill="FFFFFF"/>
            <w:vAlign w:val="center"/>
          </w:tcPr>
          <w:p w14:paraId="372FE11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p>
        </w:tc>
        <w:tc>
          <w:tcPr>
            <w:tcW w:w="2989" w:type="dxa"/>
            <w:vMerge w:val="continue"/>
            <w:tcBorders>
              <w:tl2br w:val="nil"/>
              <w:tr2bl w:val="nil"/>
            </w:tcBorders>
            <w:shd w:val="clear" w:color="auto" w:fill="FFFFFF"/>
            <w:vAlign w:val="center"/>
          </w:tcPr>
          <w:p w14:paraId="2DF5ED02">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napToGrid w:val="0"/>
                <w:color w:val="000000"/>
                <w:kern w:val="0"/>
                <w:sz w:val="24"/>
                <w:szCs w:val="24"/>
                <w:lang w:val="en-US" w:eastAsia="zh-CN" w:bidi="ar-SA"/>
              </w:rPr>
            </w:pPr>
          </w:p>
        </w:tc>
      </w:tr>
      <w:bookmarkEnd w:id="65"/>
    </w:tbl>
    <w:p w14:paraId="30F8D224">
      <w:pPr>
        <w:pStyle w:val="20"/>
        <w:keepNext w:val="0"/>
        <w:keepLines w:val="0"/>
        <w:pageBreakBefore w:val="0"/>
        <w:widowControl w:val="0"/>
        <w:kinsoku/>
        <w:wordWrap/>
        <w:overflowPunct/>
        <w:topLinePunct w:val="0"/>
        <w:autoSpaceDE/>
        <w:autoSpaceDN/>
        <w:bidi w:val="0"/>
        <w:adjustRightInd/>
        <w:snapToGrid/>
        <w:spacing w:line="360" w:lineRule="auto"/>
        <w:ind w:left="0" w:leftChars="0" w:firstLine="482" w:firstLineChars="200"/>
        <w:textAlignment w:val="auto"/>
        <w:outlineLvl w:val="9"/>
        <w:rPr>
          <w:rFonts w:hint="default" w:ascii="宋体" w:hAnsi="宋体" w:eastAsia="宋体" w:cs="宋体"/>
          <w:sz w:val="24"/>
          <w:szCs w:val="24"/>
        </w:rPr>
      </w:pPr>
      <w:r>
        <w:rPr>
          <w:rFonts w:hint="eastAsia" w:ascii="宋体" w:hAnsi="宋体" w:eastAsia="宋体" w:cs="宋体"/>
          <w:sz w:val="24"/>
          <w:szCs w:val="24"/>
          <w:lang w:val="en-US" w:eastAsia="zh-CN"/>
        </w:rPr>
        <w:t>3</w:t>
      </w:r>
      <w:r>
        <w:rPr>
          <w:rFonts w:ascii="宋体" w:hAnsi="宋体" w:eastAsia="宋体" w:cs="宋体"/>
          <w:sz w:val="24"/>
          <w:szCs w:val="24"/>
        </w:rPr>
        <w:t>.校外</w:t>
      </w:r>
      <w:r>
        <w:rPr>
          <w:rFonts w:hint="eastAsia" w:ascii="宋体" w:hAnsi="宋体" w:eastAsia="宋体" w:cs="宋体"/>
          <w:sz w:val="24"/>
          <w:szCs w:val="24"/>
          <w:lang w:eastAsia="zh-CN"/>
        </w:rPr>
        <w:t>新能源汽车运用与维修</w:t>
      </w:r>
      <w:r>
        <w:rPr>
          <w:rFonts w:ascii="宋体" w:hAnsi="宋体" w:eastAsia="宋体" w:cs="宋体"/>
          <w:sz w:val="24"/>
          <w:szCs w:val="24"/>
        </w:rPr>
        <w:t>实习实训基地基本要求</w:t>
      </w:r>
      <w:bookmarkEnd w:id="71"/>
      <w:bookmarkEnd w:id="72"/>
      <w:bookmarkEnd w:id="73"/>
      <w:bookmarkEnd w:id="74"/>
      <w:bookmarkEnd w:id="75"/>
    </w:p>
    <w:p w14:paraId="1C25F81E">
      <w:pPr>
        <w:pStyle w:val="19"/>
        <w:keepNext w:val="0"/>
        <w:keepLines w:val="0"/>
        <w:pageBreakBefore w:val="0"/>
        <w:wordWrap/>
        <w:topLinePunct w:val="0"/>
        <w:bidi w:val="0"/>
        <w:spacing w:line="360" w:lineRule="auto"/>
        <w:ind w:firstLine="420"/>
        <w:outlineLvl w:val="9"/>
        <w:rPr>
          <w:rFonts w:hint="eastAsia" w:ascii="宋体" w:hAnsi="宋体" w:eastAsia="宋体" w:cs="宋体"/>
          <w:sz w:val="24"/>
          <w:szCs w:val="24"/>
        </w:rPr>
      </w:pPr>
      <w:r>
        <w:rPr>
          <w:rFonts w:ascii="宋体" w:hAnsi="宋体" w:eastAsia="宋体" w:cs="宋体"/>
          <w:sz w:val="24"/>
          <w:szCs w:val="24"/>
        </w:rPr>
        <w:t>校外</w:t>
      </w:r>
      <w:r>
        <w:rPr>
          <w:rFonts w:hint="eastAsia" w:ascii="宋体" w:hAnsi="宋体" w:eastAsia="宋体" w:cs="宋体"/>
          <w:sz w:val="24"/>
          <w:szCs w:val="24"/>
          <w:lang w:eastAsia="zh-CN"/>
        </w:rPr>
        <w:t>新能源汽车运用与维修</w:t>
      </w:r>
      <w:r>
        <w:rPr>
          <w:rFonts w:ascii="宋体" w:hAnsi="宋体" w:eastAsia="宋体" w:cs="宋体"/>
          <w:sz w:val="24"/>
          <w:szCs w:val="24"/>
        </w:rPr>
        <w:t>实习实训基地</w:t>
      </w:r>
      <w:r>
        <w:rPr>
          <w:rFonts w:hint="eastAsia" w:ascii="宋体" w:hAnsi="宋体" w:eastAsia="宋体" w:cs="宋体"/>
          <w:sz w:val="24"/>
          <w:szCs w:val="24"/>
        </w:rPr>
        <w:t>符合《职业学校学生实习管理规定》《职业学校校企合作促进办法》等对实习单位的有关要求，经实地考察后，确定合法经营、管理规范，实习条件完备且符合产业发展实际、符合安全生产法律法规要求，与学校建立稳定合作关系的单位成为实习基地，并签署学校、学生、实习单位三方协议。</w:t>
      </w:r>
    </w:p>
    <w:p w14:paraId="42E95255">
      <w:pPr>
        <w:pStyle w:val="19"/>
        <w:keepNext w:val="0"/>
        <w:keepLines w:val="0"/>
        <w:pageBreakBefore w:val="0"/>
        <w:wordWrap/>
        <w:topLinePunct w:val="0"/>
        <w:bidi w:val="0"/>
        <w:spacing w:line="360" w:lineRule="auto"/>
        <w:ind w:firstLine="420"/>
        <w:outlineLvl w:val="9"/>
        <w:rPr>
          <w:rFonts w:hint="eastAsia" w:ascii="宋体" w:hAnsi="宋体" w:eastAsia="宋体" w:cs="宋体"/>
          <w:sz w:val="24"/>
          <w:szCs w:val="24"/>
        </w:rPr>
      </w:pPr>
      <w:r>
        <w:rPr>
          <w:rFonts w:hint="eastAsia" w:ascii="宋体" w:hAnsi="宋体" w:eastAsia="宋体" w:cs="宋体"/>
          <w:sz w:val="24"/>
          <w:szCs w:val="24"/>
        </w:rPr>
        <w:t>根据本专业人才培养的需要和未来就业需求，实习基地提供</w:t>
      </w:r>
      <w:r>
        <w:rPr>
          <w:rFonts w:hint="eastAsia" w:ascii="宋体" w:hAnsi="宋体" w:eastAsia="宋体" w:cs="宋体"/>
          <w:sz w:val="24"/>
          <w:szCs w:val="24"/>
          <w:lang w:val="en-US" w:eastAsia="zh-CN"/>
        </w:rPr>
        <w:t>了新能源汽车动力电池、驱动电机、整车检测</w:t>
      </w:r>
      <w:r>
        <w:rPr>
          <w:rFonts w:hint="eastAsia" w:ascii="宋体" w:hAnsi="宋体" w:eastAsia="宋体" w:cs="宋体"/>
          <w:sz w:val="24"/>
          <w:szCs w:val="24"/>
        </w:rPr>
        <w:t>等领域与专业对口的相关实习岗位，涵盖</w:t>
      </w:r>
      <w:r>
        <w:rPr>
          <w:rFonts w:hint="eastAsia" w:ascii="宋体" w:hAnsi="宋体" w:eastAsia="宋体" w:cs="宋体"/>
          <w:sz w:val="24"/>
          <w:szCs w:val="24"/>
          <w:lang w:val="en-US" w:eastAsia="zh-CN"/>
        </w:rPr>
        <w:t>了</w:t>
      </w:r>
      <w:r>
        <w:rPr>
          <w:rFonts w:hint="eastAsia" w:ascii="宋体" w:hAnsi="宋体" w:eastAsia="宋体" w:cs="宋体"/>
          <w:sz w:val="24"/>
          <w:szCs w:val="24"/>
        </w:rPr>
        <w:t>当前相关产业发展的主流技术，可接纳一定规模的学生实习；学校和实习单位双方共同制订</w:t>
      </w:r>
      <w:r>
        <w:rPr>
          <w:rFonts w:hint="eastAsia" w:ascii="宋体" w:hAnsi="宋体" w:eastAsia="宋体" w:cs="宋体"/>
          <w:sz w:val="24"/>
          <w:szCs w:val="24"/>
          <w:lang w:val="en-US" w:eastAsia="zh-CN"/>
        </w:rPr>
        <w:t>了</w:t>
      </w:r>
      <w:r>
        <w:rPr>
          <w:rFonts w:hint="eastAsia" w:ascii="宋体" w:hAnsi="宋体" w:eastAsia="宋体" w:cs="宋体"/>
          <w:sz w:val="24"/>
          <w:szCs w:val="24"/>
        </w:rPr>
        <w:t>实习计划，配备</w:t>
      </w:r>
      <w:r>
        <w:rPr>
          <w:rFonts w:hint="eastAsia" w:ascii="宋体" w:hAnsi="宋体" w:eastAsia="宋体" w:cs="宋体"/>
          <w:sz w:val="24"/>
          <w:szCs w:val="24"/>
          <w:lang w:val="en-US" w:eastAsia="zh-CN"/>
        </w:rPr>
        <w:t>了</w:t>
      </w:r>
      <w:r>
        <w:rPr>
          <w:rFonts w:hint="eastAsia" w:ascii="宋体" w:hAnsi="宋体" w:eastAsia="宋体" w:cs="宋体"/>
          <w:sz w:val="24"/>
          <w:szCs w:val="24"/>
        </w:rPr>
        <w:t>相应数量的指导教师对学生实习进行指导和管理，实习单位安排</w:t>
      </w:r>
      <w:r>
        <w:rPr>
          <w:rFonts w:hint="eastAsia" w:ascii="宋体" w:hAnsi="宋体" w:eastAsia="宋体" w:cs="宋体"/>
          <w:sz w:val="24"/>
          <w:szCs w:val="24"/>
          <w:lang w:val="en-US" w:eastAsia="zh-CN"/>
        </w:rPr>
        <w:t>了</w:t>
      </w:r>
      <w:r>
        <w:rPr>
          <w:rFonts w:hint="eastAsia" w:ascii="宋体" w:hAnsi="宋体" w:eastAsia="宋体" w:cs="宋体"/>
          <w:sz w:val="24"/>
          <w:szCs w:val="24"/>
        </w:rPr>
        <w:t>有经验的技术或管理人员担任实习指导教师，开展</w:t>
      </w:r>
      <w:r>
        <w:rPr>
          <w:rFonts w:hint="eastAsia" w:ascii="宋体" w:hAnsi="宋体" w:eastAsia="宋体" w:cs="宋体"/>
          <w:sz w:val="24"/>
          <w:szCs w:val="24"/>
          <w:lang w:val="en-US" w:eastAsia="zh-CN"/>
        </w:rPr>
        <w:t>了</w:t>
      </w:r>
      <w:r>
        <w:rPr>
          <w:rFonts w:hint="eastAsia" w:ascii="宋体" w:hAnsi="宋体" w:eastAsia="宋体" w:cs="宋体"/>
          <w:sz w:val="24"/>
          <w:szCs w:val="24"/>
        </w:rPr>
        <w:t>专业教学和职业技能训练，完成实习质量评价，做好学生实习服务和管理工作，有保证实习学生日常工作、学习、生活的规章制度，有安全、保险保障，依法依规保障学生的基本权益。</w:t>
      </w:r>
    </w:p>
    <w:p w14:paraId="1E7C2296">
      <w:pPr>
        <w:pStyle w:val="19"/>
        <w:keepNext w:val="0"/>
        <w:keepLines w:val="0"/>
        <w:pageBreakBefore w:val="0"/>
        <w:wordWrap/>
        <w:topLinePunct w:val="0"/>
        <w:bidi w:val="0"/>
        <w:spacing w:line="360" w:lineRule="auto"/>
        <w:ind w:firstLine="420"/>
        <w:outlineLvl w:val="9"/>
        <w:rPr>
          <w:rFonts w:hint="default" w:ascii="宋体" w:hAnsi="宋体" w:eastAsia="宋体" w:cs="宋体"/>
          <w:sz w:val="24"/>
          <w:szCs w:val="24"/>
        </w:rPr>
      </w:pPr>
      <w:r>
        <w:rPr>
          <w:rFonts w:ascii="宋体" w:hAnsi="宋体" w:eastAsia="宋体" w:cs="宋体"/>
          <w:sz w:val="24"/>
          <w:szCs w:val="24"/>
        </w:rPr>
        <w:t>校外</w:t>
      </w:r>
      <w:r>
        <w:rPr>
          <w:rFonts w:hint="eastAsia" w:ascii="宋体" w:hAnsi="宋体" w:eastAsia="宋体" w:cs="宋体"/>
          <w:sz w:val="24"/>
          <w:szCs w:val="24"/>
          <w:lang w:eastAsia="zh-CN"/>
        </w:rPr>
        <w:t>新能源汽车运用与维修</w:t>
      </w:r>
      <w:r>
        <w:rPr>
          <w:rFonts w:ascii="宋体" w:hAnsi="宋体" w:eastAsia="宋体" w:cs="宋体"/>
          <w:sz w:val="24"/>
          <w:szCs w:val="24"/>
        </w:rPr>
        <w:t>实习实训基地的建成，为</w:t>
      </w:r>
      <w:r>
        <w:rPr>
          <w:rFonts w:hint="eastAsia" w:ascii="宋体" w:hAnsi="宋体" w:eastAsia="宋体" w:cs="宋体"/>
          <w:sz w:val="24"/>
          <w:szCs w:val="24"/>
          <w:lang w:eastAsia="zh-CN"/>
        </w:rPr>
        <w:t>新能源汽车运用与维修</w:t>
      </w:r>
      <w:r>
        <w:rPr>
          <w:rFonts w:ascii="宋体" w:hAnsi="宋体" w:eastAsia="宋体" w:cs="宋体"/>
          <w:sz w:val="24"/>
          <w:szCs w:val="24"/>
        </w:rPr>
        <w:t>专业的教学改革提供了硬件支撑，为专业进一步发展打下坚实基础，为双师型队伍建设提供了平台保障,还可以发挥基地的拓展功能，服务社会。</w:t>
      </w:r>
    </w:p>
    <w:p w14:paraId="5AC1E909">
      <w:pPr>
        <w:pStyle w:val="19"/>
        <w:keepNext w:val="0"/>
        <w:keepLines w:val="0"/>
        <w:pageBreakBefore w:val="0"/>
        <w:wordWrap/>
        <w:topLinePunct w:val="0"/>
        <w:bidi w:val="0"/>
        <w:spacing w:line="360" w:lineRule="auto"/>
        <w:ind w:firstLine="420"/>
        <w:outlineLvl w:val="9"/>
        <w:rPr>
          <w:rFonts w:ascii="宋体" w:hAnsi="宋体" w:eastAsia="宋体" w:cs="宋体"/>
          <w:b/>
          <w:bCs/>
          <w:sz w:val="24"/>
          <w:szCs w:val="24"/>
        </w:rPr>
      </w:pPr>
      <w:r>
        <w:rPr>
          <w:rFonts w:hint="eastAsia" w:ascii="宋体" w:hAnsi="宋体" w:eastAsia="宋体" w:cs="宋体"/>
          <w:sz w:val="24"/>
          <w:szCs w:val="24"/>
          <w:lang w:eastAsia="zh-CN"/>
        </w:rPr>
        <w:t>新能源汽车运用与维修</w:t>
      </w:r>
      <w:r>
        <w:rPr>
          <w:rFonts w:ascii="宋体" w:hAnsi="宋体" w:eastAsia="宋体" w:cs="宋体"/>
          <w:sz w:val="24"/>
          <w:szCs w:val="24"/>
        </w:rPr>
        <w:t>专业所涉及的校外实训基地建设情况如下：</w:t>
      </w:r>
      <w:bookmarkStart w:id="79" w:name="_Toc32120_WPSOffice_Level3"/>
      <w:bookmarkStart w:id="80" w:name="_Toc3923_WPSOffice_Level3"/>
      <w:bookmarkStart w:id="81" w:name="_Toc8854_WPSOffice_Level3"/>
    </w:p>
    <w:bookmarkEnd w:id="79"/>
    <w:bookmarkEnd w:id="80"/>
    <w:bookmarkEnd w:id="81"/>
    <w:p w14:paraId="530FD627">
      <w:pPr>
        <w:keepNext w:val="0"/>
        <w:keepLines w:val="0"/>
        <w:pageBreakBefore w:val="0"/>
        <w:wordWrap/>
        <w:topLinePunct w:val="0"/>
        <w:bidi w:val="0"/>
        <w:spacing w:line="360" w:lineRule="auto"/>
        <w:jc w:val="center"/>
        <w:outlineLvl w:val="9"/>
        <w:rPr>
          <w:rFonts w:ascii="宋体" w:hAnsi="宋体" w:eastAsia="宋体" w:cs="宋体"/>
          <w:sz w:val="24"/>
          <w:szCs w:val="24"/>
        </w:rPr>
      </w:pPr>
      <w:bookmarkStart w:id="82" w:name="_Toc32658"/>
      <w:r>
        <w:rPr>
          <w:rFonts w:hint="eastAsia" w:ascii="宋体" w:hAnsi="宋体" w:eastAsia="宋体" w:cs="宋体"/>
          <w:sz w:val="24"/>
          <w:szCs w:val="24"/>
          <w:highlight w:val="none"/>
          <w:lang w:val="en-US" w:eastAsia="zh-CN"/>
        </w:rPr>
        <w:t>表15</w:t>
      </w:r>
      <w:r>
        <w:rPr>
          <w:rFonts w:hint="eastAsia" w:ascii="宋体" w:hAnsi="宋体" w:eastAsia="宋体" w:cs="宋体"/>
          <w:sz w:val="24"/>
          <w:szCs w:val="24"/>
          <w:highlight w:val="none"/>
        </w:rPr>
        <w:t>校外</w:t>
      </w:r>
      <w:r>
        <w:rPr>
          <w:rFonts w:hint="eastAsia" w:ascii="宋体" w:hAnsi="宋体" w:eastAsia="宋体" w:cs="宋体"/>
          <w:sz w:val="24"/>
          <w:szCs w:val="24"/>
        </w:rPr>
        <w:t>实训基地</w:t>
      </w:r>
      <w:bookmarkEnd w:id="82"/>
    </w:p>
    <w:tbl>
      <w:tblPr>
        <w:tblStyle w:val="11"/>
        <w:tblW w:w="9071" w:type="dxa"/>
        <w:jc w:val="center"/>
        <w:tblLayout w:type="fixed"/>
        <w:tblCellMar>
          <w:top w:w="0" w:type="dxa"/>
          <w:left w:w="10" w:type="dxa"/>
          <w:bottom w:w="0" w:type="dxa"/>
          <w:right w:w="10" w:type="dxa"/>
        </w:tblCellMar>
      </w:tblPr>
      <w:tblGrid>
        <w:gridCol w:w="697"/>
        <w:gridCol w:w="2407"/>
        <w:gridCol w:w="1855"/>
        <w:gridCol w:w="1964"/>
        <w:gridCol w:w="2148"/>
      </w:tblGrid>
      <w:tr w14:paraId="64A813B6">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tcBorders>
            <w:shd w:val="clear" w:color="auto" w:fill="FFFFFF"/>
            <w:vAlign w:val="center"/>
          </w:tcPr>
          <w:p w14:paraId="43C494E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rPr>
            </w:pPr>
            <w:r>
              <w:rPr>
                <w:rFonts w:hint="eastAsia" w:ascii="宋体" w:hAnsi="宋体" w:eastAsia="宋体" w:cs="宋体"/>
                <w:sz w:val="24"/>
                <w:szCs w:val="24"/>
              </w:rPr>
              <w:t>序 号</w:t>
            </w:r>
          </w:p>
        </w:tc>
        <w:tc>
          <w:tcPr>
            <w:tcW w:w="2407" w:type="dxa"/>
            <w:tcBorders>
              <w:top w:val="single" w:color="auto" w:sz="4" w:space="0"/>
              <w:left w:val="single" w:color="auto" w:sz="4" w:space="0"/>
            </w:tcBorders>
            <w:shd w:val="clear" w:color="auto" w:fill="FFFFFF"/>
            <w:vAlign w:val="center"/>
          </w:tcPr>
          <w:p w14:paraId="77CCAFB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rPr>
            </w:pPr>
            <w:r>
              <w:rPr>
                <w:rFonts w:hint="eastAsia" w:ascii="宋体" w:hAnsi="宋体" w:eastAsia="宋体" w:cs="宋体"/>
                <w:sz w:val="24"/>
                <w:szCs w:val="24"/>
              </w:rPr>
              <w:t>校外实训基地名称</w:t>
            </w:r>
          </w:p>
        </w:tc>
        <w:tc>
          <w:tcPr>
            <w:tcW w:w="1855" w:type="dxa"/>
            <w:tcBorders>
              <w:top w:val="single" w:color="auto" w:sz="4" w:space="0"/>
              <w:left w:val="single" w:color="auto" w:sz="4" w:space="0"/>
            </w:tcBorders>
            <w:shd w:val="clear" w:color="auto" w:fill="FFFFFF"/>
            <w:vAlign w:val="center"/>
          </w:tcPr>
          <w:p w14:paraId="011B0100">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rPr>
            </w:pPr>
            <w:r>
              <w:rPr>
                <w:rFonts w:hint="eastAsia" w:ascii="宋体" w:hAnsi="宋体" w:eastAsia="宋体" w:cs="宋体"/>
                <w:sz w:val="24"/>
                <w:szCs w:val="24"/>
              </w:rPr>
              <w:t>合作企业名称</w:t>
            </w:r>
          </w:p>
        </w:tc>
        <w:tc>
          <w:tcPr>
            <w:tcW w:w="1964" w:type="dxa"/>
            <w:tcBorders>
              <w:top w:val="single" w:color="auto" w:sz="4" w:space="0"/>
              <w:left w:val="single" w:color="auto" w:sz="4" w:space="0"/>
            </w:tcBorders>
            <w:shd w:val="clear" w:color="auto" w:fill="FFFFFF"/>
            <w:vAlign w:val="center"/>
          </w:tcPr>
          <w:p w14:paraId="5975E06D">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rPr>
            </w:pPr>
            <w:r>
              <w:rPr>
                <w:rFonts w:hint="eastAsia" w:ascii="宋体" w:hAnsi="宋体" w:eastAsia="宋体" w:cs="宋体"/>
                <w:sz w:val="24"/>
                <w:szCs w:val="24"/>
              </w:rPr>
              <w:t>用途</w:t>
            </w:r>
          </w:p>
        </w:tc>
        <w:tc>
          <w:tcPr>
            <w:tcW w:w="2148" w:type="dxa"/>
            <w:tcBorders>
              <w:top w:val="single" w:color="auto" w:sz="4" w:space="0"/>
              <w:left w:val="single" w:color="auto" w:sz="4" w:space="0"/>
              <w:right w:val="single" w:color="auto" w:sz="4" w:space="0"/>
            </w:tcBorders>
            <w:shd w:val="clear" w:color="auto" w:fill="FFFFFF"/>
            <w:vAlign w:val="center"/>
          </w:tcPr>
          <w:p w14:paraId="07ADD411">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rPr>
            </w:pPr>
            <w:r>
              <w:rPr>
                <w:rFonts w:hint="eastAsia" w:ascii="宋体" w:hAnsi="宋体" w:eastAsia="宋体" w:cs="宋体"/>
                <w:sz w:val="24"/>
                <w:szCs w:val="24"/>
              </w:rPr>
              <w:t>合作内容</w:t>
            </w:r>
          </w:p>
        </w:tc>
      </w:tr>
      <w:tr w14:paraId="7E9E5095">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tcBorders>
            <w:shd w:val="clear" w:color="auto" w:fill="FFFFFF"/>
            <w:vAlign w:val="center"/>
          </w:tcPr>
          <w:p w14:paraId="16143505">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ascii="宋体" w:hAnsi="宋体" w:eastAsia="宋体" w:cs="宋体"/>
                <w:sz w:val="24"/>
                <w:szCs w:val="24"/>
              </w:rPr>
            </w:pPr>
            <w:r>
              <w:rPr>
                <w:rFonts w:hint="eastAsia" w:ascii="宋体" w:hAnsi="宋体" w:eastAsia="宋体" w:cs="宋体"/>
                <w:sz w:val="24"/>
                <w:szCs w:val="24"/>
              </w:rPr>
              <w:t>1</w:t>
            </w:r>
          </w:p>
        </w:tc>
        <w:tc>
          <w:tcPr>
            <w:tcW w:w="2407" w:type="dxa"/>
            <w:tcBorders>
              <w:top w:val="single" w:color="auto" w:sz="4" w:space="0"/>
              <w:left w:val="single" w:color="auto" w:sz="4" w:space="0"/>
            </w:tcBorders>
            <w:shd w:val="clear" w:color="auto" w:fill="FFFFFF"/>
            <w:vAlign w:val="center"/>
          </w:tcPr>
          <w:p w14:paraId="0B39BEF4">
            <w:pPr>
              <w:keepNext w:val="0"/>
              <w:keepLines w:val="0"/>
              <w:pageBreakBefore w:val="0"/>
              <w:wordWrap/>
              <w:topLinePunct w:val="0"/>
              <w:bidi w:val="0"/>
              <w:spacing w:line="360" w:lineRule="auto"/>
              <w:jc w:val="left"/>
              <w:outlineLvl w:val="9"/>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浙江吉利集团长兴实训基地</w:t>
            </w:r>
          </w:p>
        </w:tc>
        <w:tc>
          <w:tcPr>
            <w:tcW w:w="1855" w:type="dxa"/>
            <w:tcBorders>
              <w:top w:val="single" w:color="auto" w:sz="4" w:space="0"/>
              <w:left w:val="single" w:color="auto" w:sz="4" w:space="0"/>
            </w:tcBorders>
            <w:shd w:val="clear" w:color="auto" w:fill="FFFFFF"/>
            <w:vAlign w:val="center"/>
          </w:tcPr>
          <w:p w14:paraId="06D29C15">
            <w:pPr>
              <w:keepNext w:val="0"/>
              <w:keepLines w:val="0"/>
              <w:pageBreakBefore w:val="0"/>
              <w:wordWrap/>
              <w:topLinePunct w:val="0"/>
              <w:bidi w:val="0"/>
              <w:spacing w:line="360" w:lineRule="auto"/>
              <w:jc w:val="left"/>
              <w:outlineLvl w:val="9"/>
              <w:rPr>
                <w:rFonts w:hint="eastAsia" w:ascii="宋体" w:hAnsi="宋体" w:eastAsia="宋体" w:cs="宋体"/>
                <w:sz w:val="24"/>
                <w:szCs w:val="24"/>
                <w:lang w:eastAsia="zh-CN"/>
              </w:rPr>
            </w:pPr>
            <w:r>
              <w:rPr>
                <w:rFonts w:hint="eastAsia" w:ascii="宋体" w:hAnsi="宋体" w:eastAsia="宋体" w:cs="宋体"/>
                <w:sz w:val="24"/>
                <w:szCs w:val="24"/>
                <w:lang w:eastAsia="zh-CN"/>
              </w:rPr>
              <w:t>吉利控股集团</w:t>
            </w:r>
          </w:p>
        </w:tc>
        <w:tc>
          <w:tcPr>
            <w:tcW w:w="1964" w:type="dxa"/>
            <w:tcBorders>
              <w:top w:val="single" w:color="auto" w:sz="4" w:space="0"/>
              <w:left w:val="single" w:color="auto" w:sz="4" w:space="0"/>
            </w:tcBorders>
            <w:shd w:val="clear" w:color="auto" w:fill="FFFFFF"/>
            <w:vAlign w:val="center"/>
          </w:tcPr>
          <w:p w14:paraId="2B162D46">
            <w:pPr>
              <w:pStyle w:val="17"/>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ascii="宋体" w:hAnsi="宋体" w:eastAsia="宋体" w:cs="宋体"/>
                <w:sz w:val="24"/>
                <w:szCs w:val="24"/>
              </w:rPr>
            </w:pPr>
            <w:r>
              <w:rPr>
                <w:rFonts w:hint="eastAsia" w:ascii="宋体" w:hAnsi="宋体" w:eastAsia="宋体" w:cs="宋体"/>
                <w:sz w:val="24"/>
                <w:szCs w:val="24"/>
              </w:rPr>
              <w:t>提供学生实习及教师下企业实践场所</w:t>
            </w:r>
          </w:p>
        </w:tc>
        <w:tc>
          <w:tcPr>
            <w:tcW w:w="2148" w:type="dxa"/>
            <w:tcBorders>
              <w:top w:val="single" w:color="auto" w:sz="4" w:space="0"/>
              <w:left w:val="single" w:color="auto" w:sz="4" w:space="0"/>
              <w:right w:val="single" w:color="auto" w:sz="4" w:space="0"/>
            </w:tcBorders>
            <w:shd w:val="clear" w:color="auto" w:fill="FFFFFF"/>
            <w:vAlign w:val="center"/>
          </w:tcPr>
          <w:p w14:paraId="6A78853D">
            <w:pPr>
              <w:pStyle w:val="17"/>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ascii="宋体" w:hAnsi="宋体" w:eastAsia="宋体" w:cs="宋体"/>
                <w:sz w:val="24"/>
                <w:szCs w:val="24"/>
              </w:rPr>
            </w:pPr>
            <w:r>
              <w:rPr>
                <w:rFonts w:hint="eastAsia" w:ascii="宋体" w:hAnsi="宋体" w:eastAsia="宋体" w:cs="宋体"/>
                <w:sz w:val="24"/>
                <w:szCs w:val="24"/>
              </w:rPr>
              <w:t>学生跟岗、顶岗实习；教师下企业实践</w:t>
            </w:r>
          </w:p>
        </w:tc>
      </w:tr>
      <w:tr w14:paraId="2F1AA5EC">
        <w:tblPrEx>
          <w:tblCellMar>
            <w:top w:w="0" w:type="dxa"/>
            <w:left w:w="10" w:type="dxa"/>
            <w:bottom w:w="0" w:type="dxa"/>
            <w:right w:w="10" w:type="dxa"/>
          </w:tblCellMar>
        </w:tblPrEx>
        <w:trPr>
          <w:trHeight w:val="567" w:hRule="atLeast"/>
          <w:jc w:val="center"/>
        </w:trPr>
        <w:tc>
          <w:tcPr>
            <w:tcW w:w="697" w:type="dxa"/>
            <w:tcBorders>
              <w:top w:val="single" w:color="auto" w:sz="4" w:space="0"/>
              <w:left w:val="single" w:color="auto" w:sz="4" w:space="0"/>
              <w:bottom w:val="single" w:color="auto" w:sz="4" w:space="0"/>
            </w:tcBorders>
            <w:shd w:val="clear" w:color="auto" w:fill="FFFFFF"/>
            <w:vAlign w:val="center"/>
          </w:tcPr>
          <w:p w14:paraId="4968E7F3">
            <w:pPr>
              <w:pStyle w:val="17"/>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eastAsia="宋体" w:cs="宋体"/>
                <w:sz w:val="24"/>
                <w:szCs w:val="24"/>
                <w:lang w:val="en-US" w:eastAsia="zh-CN"/>
              </w:rPr>
            </w:pPr>
            <w:bookmarkStart w:id="83" w:name="_Toc15797"/>
            <w:r>
              <w:rPr>
                <w:rFonts w:hint="eastAsia" w:ascii="宋体" w:hAnsi="宋体" w:eastAsia="宋体" w:cs="宋体"/>
                <w:sz w:val="24"/>
                <w:szCs w:val="24"/>
                <w:lang w:val="en-US" w:eastAsia="zh-CN"/>
              </w:rPr>
              <w:t>2</w:t>
            </w:r>
          </w:p>
        </w:tc>
        <w:tc>
          <w:tcPr>
            <w:tcW w:w="2407" w:type="dxa"/>
            <w:tcBorders>
              <w:top w:val="single" w:color="auto" w:sz="4" w:space="0"/>
              <w:left w:val="single" w:color="auto" w:sz="4" w:space="0"/>
              <w:bottom w:val="single" w:color="auto" w:sz="4" w:space="0"/>
            </w:tcBorders>
            <w:shd w:val="clear" w:color="auto" w:fill="FFFFFF"/>
            <w:vAlign w:val="center"/>
          </w:tcPr>
          <w:p w14:paraId="4BC9738B">
            <w:pPr>
              <w:keepNext w:val="0"/>
              <w:keepLines w:val="0"/>
              <w:pageBreakBefore w:val="0"/>
              <w:wordWrap/>
              <w:topLinePunct w:val="0"/>
              <w:bidi w:val="0"/>
              <w:spacing w:line="360" w:lineRule="auto"/>
              <w:jc w:val="left"/>
              <w:outlineLvl w:val="9"/>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山西诺维兰集团吉利4S店</w:t>
            </w:r>
          </w:p>
        </w:tc>
        <w:tc>
          <w:tcPr>
            <w:tcW w:w="1855" w:type="dxa"/>
            <w:tcBorders>
              <w:top w:val="single" w:color="auto" w:sz="4" w:space="0"/>
              <w:left w:val="single" w:color="auto" w:sz="4" w:space="0"/>
              <w:bottom w:val="single" w:color="auto" w:sz="4" w:space="0"/>
            </w:tcBorders>
            <w:shd w:val="clear" w:color="auto" w:fill="FFFFFF"/>
            <w:vAlign w:val="center"/>
          </w:tcPr>
          <w:p w14:paraId="32F5838A">
            <w:pPr>
              <w:keepNext w:val="0"/>
              <w:keepLines w:val="0"/>
              <w:pageBreakBefore w:val="0"/>
              <w:wordWrap/>
              <w:topLinePunct w:val="0"/>
              <w:bidi w:val="0"/>
              <w:spacing w:line="360" w:lineRule="auto"/>
              <w:jc w:val="left"/>
              <w:outlineLvl w:val="9"/>
              <w:rPr>
                <w:rFonts w:hint="eastAsia" w:ascii="宋体" w:hAnsi="宋体" w:eastAsia="宋体" w:cs="宋体"/>
                <w:sz w:val="24"/>
                <w:szCs w:val="24"/>
                <w:lang w:eastAsia="zh-CN"/>
              </w:rPr>
            </w:pPr>
            <w:r>
              <w:rPr>
                <w:rFonts w:hint="eastAsia" w:ascii="宋体" w:hAnsi="宋体" w:eastAsia="宋体" w:cs="宋体"/>
                <w:sz w:val="24"/>
                <w:szCs w:val="24"/>
                <w:lang w:eastAsia="zh-CN"/>
              </w:rPr>
              <w:t>诺维兰集团</w:t>
            </w:r>
          </w:p>
        </w:tc>
        <w:tc>
          <w:tcPr>
            <w:tcW w:w="1964" w:type="dxa"/>
            <w:tcBorders>
              <w:top w:val="single" w:color="auto" w:sz="4" w:space="0"/>
              <w:left w:val="single" w:color="auto" w:sz="4" w:space="0"/>
              <w:bottom w:val="single" w:color="auto" w:sz="4" w:space="0"/>
            </w:tcBorders>
            <w:shd w:val="clear" w:color="auto" w:fill="FFFFFF"/>
            <w:vAlign w:val="center"/>
          </w:tcPr>
          <w:p w14:paraId="1FB84826">
            <w:pPr>
              <w:pStyle w:val="17"/>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ascii="宋体" w:hAnsi="宋体" w:eastAsia="宋体" w:cs="宋体"/>
                <w:kern w:val="2"/>
                <w:sz w:val="24"/>
                <w:szCs w:val="24"/>
                <w:lang w:val="en-US" w:eastAsia="zh-CN" w:bidi="ar-SA"/>
              </w:rPr>
            </w:pPr>
            <w:r>
              <w:rPr>
                <w:rFonts w:hint="eastAsia" w:ascii="宋体" w:hAnsi="宋体" w:eastAsia="宋体" w:cs="宋体"/>
                <w:sz w:val="24"/>
                <w:szCs w:val="24"/>
              </w:rPr>
              <w:t>提供学生实习及教师下 企业实践场所</w:t>
            </w:r>
          </w:p>
        </w:tc>
        <w:tc>
          <w:tcPr>
            <w:tcW w:w="2148" w:type="dxa"/>
            <w:tcBorders>
              <w:top w:val="single" w:color="auto" w:sz="4" w:space="0"/>
              <w:left w:val="single" w:color="auto" w:sz="4" w:space="0"/>
              <w:bottom w:val="single" w:color="auto" w:sz="4" w:space="0"/>
              <w:right w:val="single" w:color="auto" w:sz="4" w:space="0"/>
            </w:tcBorders>
            <w:shd w:val="clear" w:color="auto" w:fill="FFFFFF"/>
            <w:vAlign w:val="center"/>
          </w:tcPr>
          <w:p w14:paraId="45297B78">
            <w:pPr>
              <w:pStyle w:val="17"/>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ascii="宋体" w:hAnsi="宋体" w:eastAsia="宋体" w:cs="宋体"/>
                <w:kern w:val="2"/>
                <w:sz w:val="24"/>
                <w:szCs w:val="24"/>
                <w:lang w:val="en-US" w:eastAsia="zh-CN" w:bidi="ar-SA"/>
              </w:rPr>
            </w:pPr>
            <w:r>
              <w:rPr>
                <w:rFonts w:hint="eastAsia" w:ascii="宋体" w:hAnsi="宋体" w:eastAsia="宋体" w:cs="宋体"/>
                <w:sz w:val="24"/>
                <w:szCs w:val="24"/>
              </w:rPr>
              <w:t>学生跟岗、顶岗实习；教师下企业实践</w:t>
            </w:r>
          </w:p>
        </w:tc>
      </w:tr>
      <w:bookmarkEnd w:id="76"/>
      <w:bookmarkEnd w:id="77"/>
      <w:bookmarkEnd w:id="78"/>
    </w:tbl>
    <w:p w14:paraId="68C2DC07">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84" w:name="_Toc10032"/>
      <w:r>
        <w:rPr>
          <w:rFonts w:hint="eastAsia" w:ascii="楷体" w:hAnsi="楷体" w:eastAsia="楷体" w:cs="楷体"/>
          <w:b/>
          <w:bCs/>
          <w:spacing w:val="-7"/>
          <w:sz w:val="24"/>
          <w:szCs w:val="24"/>
        </w:rPr>
        <w:t>（三）教学资源</w:t>
      </w:r>
      <w:bookmarkEnd w:id="83"/>
      <w:bookmarkEnd w:id="84"/>
    </w:p>
    <w:p w14:paraId="4605B9BB">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根据《职业院校教材管理办法》，按照国家规定，经过</w:t>
      </w:r>
      <w:r>
        <w:rPr>
          <w:rFonts w:hint="eastAsia" w:eastAsia="宋体" w:asciiTheme="minorEastAsia" w:hAnsiTheme="minorEastAsia" w:cstheme="minorEastAsia"/>
          <w:color w:val="auto"/>
          <w:sz w:val="24"/>
          <w:szCs w:val="24"/>
          <w:lang w:val="en-US" w:eastAsia="zh-CN"/>
        </w:rPr>
        <w:t>了</w:t>
      </w:r>
      <w:r>
        <w:rPr>
          <w:rFonts w:hint="eastAsia" w:asciiTheme="minorEastAsia" w:hAnsiTheme="minorEastAsia" w:cstheme="minorEastAsia"/>
          <w:color w:val="auto"/>
          <w:sz w:val="24"/>
          <w:szCs w:val="24"/>
        </w:rPr>
        <w:t>规范程序选用教材，优先选用国家</w:t>
      </w:r>
      <w:r>
        <w:rPr>
          <w:rFonts w:hint="eastAsia" w:eastAsia="宋体" w:asciiTheme="minorEastAsia" w:hAnsiTheme="minorEastAsia" w:cstheme="minorEastAsia"/>
          <w:color w:val="auto"/>
          <w:sz w:val="24"/>
          <w:szCs w:val="24"/>
          <w:lang w:val="en-US" w:eastAsia="zh-CN"/>
        </w:rPr>
        <w:t>统编</w:t>
      </w:r>
      <w:r>
        <w:rPr>
          <w:rFonts w:hint="eastAsia" w:asciiTheme="minorEastAsia" w:hAnsiTheme="minorEastAsia" w:cstheme="minorEastAsia"/>
          <w:color w:val="auto"/>
          <w:sz w:val="24"/>
          <w:szCs w:val="24"/>
        </w:rPr>
        <w:t>教材和国家</w:t>
      </w:r>
      <w:r>
        <w:rPr>
          <w:rFonts w:hint="eastAsia" w:eastAsia="宋体" w:asciiTheme="minorEastAsia" w:hAnsiTheme="minorEastAsia" w:cstheme="minorEastAsia"/>
          <w:color w:val="auto"/>
          <w:sz w:val="24"/>
          <w:szCs w:val="24"/>
          <w:lang w:val="en-US" w:eastAsia="zh-CN"/>
        </w:rPr>
        <w:t>规划</w:t>
      </w:r>
      <w:r>
        <w:rPr>
          <w:rFonts w:hint="eastAsia" w:asciiTheme="minorEastAsia" w:hAnsiTheme="minorEastAsia" w:cstheme="minorEastAsia"/>
          <w:color w:val="auto"/>
          <w:sz w:val="24"/>
          <w:szCs w:val="24"/>
        </w:rPr>
        <w:t>教材。专业课程教材应体现本行业新技术、新规范、新标准、新形态，并通过数字教材、活页式教材等多种方式进行动态更新。</w:t>
      </w:r>
    </w:p>
    <w:p w14:paraId="3A6C5379">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根据教学需要，建设、配备</w:t>
      </w:r>
      <w:r>
        <w:rPr>
          <w:rFonts w:hint="eastAsia" w:eastAsia="宋体" w:asciiTheme="minorEastAsia" w:hAnsiTheme="minorEastAsia" w:cstheme="minorEastAsia"/>
          <w:color w:val="auto"/>
          <w:sz w:val="24"/>
          <w:szCs w:val="24"/>
          <w:lang w:val="en-US" w:eastAsia="zh-CN"/>
        </w:rPr>
        <w:t>了</w:t>
      </w:r>
      <w:r>
        <w:rPr>
          <w:rFonts w:hint="eastAsia" w:asciiTheme="minorEastAsia" w:hAnsiTheme="minorEastAsia" w:cstheme="minorEastAsia"/>
          <w:color w:val="auto"/>
          <w:sz w:val="24"/>
          <w:szCs w:val="24"/>
        </w:rPr>
        <w:t>与本专业有关的音视频素材、教学课件、数字化教学案例库、虚拟仿真软件等专业教学资源库，种类丰富、形式多样、使用便捷、动态更新、满足教学。</w:t>
      </w:r>
    </w:p>
    <w:p w14:paraId="3715170D">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lang w:eastAsia="zh-CN"/>
        </w:rPr>
      </w:pPr>
      <w:bookmarkStart w:id="85" w:name="_Toc4875"/>
      <w:bookmarkStart w:id="86" w:name="_Toc5286"/>
      <w:r>
        <w:rPr>
          <w:rFonts w:hint="eastAsia" w:ascii="楷体" w:hAnsi="楷体" w:eastAsia="楷体" w:cs="楷体"/>
          <w:b/>
          <w:bCs/>
          <w:spacing w:val="-7"/>
          <w:sz w:val="24"/>
          <w:szCs w:val="24"/>
          <w:lang w:eastAsia="zh-CN"/>
        </w:rPr>
        <w:t>（四）</w:t>
      </w:r>
      <w:r>
        <w:rPr>
          <w:rFonts w:hint="eastAsia" w:ascii="楷体" w:hAnsi="楷体" w:eastAsia="楷体" w:cs="楷体"/>
          <w:b/>
          <w:bCs/>
          <w:spacing w:val="-7"/>
          <w:sz w:val="24"/>
          <w:szCs w:val="24"/>
        </w:rPr>
        <w:t>教学方法</w:t>
      </w:r>
      <w:bookmarkEnd w:id="85"/>
      <w:bookmarkEnd w:id="86"/>
    </w:p>
    <w:p w14:paraId="3BAB758D">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根据</w:t>
      </w:r>
      <w:r>
        <w:rPr>
          <w:rFonts w:hint="eastAsia" w:eastAsia="宋体" w:asciiTheme="minorEastAsia" w:hAnsiTheme="minorEastAsia" w:cstheme="minorEastAsia"/>
          <w:color w:val="auto"/>
          <w:sz w:val="24"/>
          <w:szCs w:val="24"/>
          <w:lang w:eastAsia="zh-CN"/>
        </w:rPr>
        <w:t>新能源汽车运用与维修</w:t>
      </w:r>
      <w:r>
        <w:rPr>
          <w:rFonts w:hint="eastAsia" w:asciiTheme="minorEastAsia" w:hAnsiTheme="minorEastAsia" w:cstheme="minorEastAsia"/>
          <w:color w:val="auto"/>
          <w:sz w:val="24"/>
          <w:szCs w:val="24"/>
        </w:rPr>
        <w:t>专业的特点我专业按照“公共课修素养、专业课强技能位”的模块化课程结构，构建以</w:t>
      </w:r>
      <w:r>
        <w:rPr>
          <w:rFonts w:hint="eastAsia" w:eastAsia="宋体" w:asciiTheme="minorEastAsia" w:hAnsiTheme="minorEastAsia" w:cstheme="minorEastAsia"/>
          <w:color w:val="auto"/>
          <w:sz w:val="24"/>
          <w:szCs w:val="24"/>
          <w:lang w:eastAsia="zh-CN"/>
        </w:rPr>
        <w:t>新能源汽车运用与维修</w:t>
      </w:r>
      <w:r>
        <w:rPr>
          <w:rFonts w:hint="eastAsia" w:asciiTheme="minorEastAsia" w:hAnsiTheme="minorEastAsia" w:cstheme="minorEastAsia"/>
          <w:color w:val="auto"/>
          <w:sz w:val="24"/>
          <w:szCs w:val="24"/>
        </w:rPr>
        <w:t>操作流程为载体的“教、学、做“一体化的“学校课程+学校课程”的校企双线的课程体系，彰显岗位主导与任务引领。倡导因材施教、因需施教，鼓励创新教学方法和策略，采用理实一体化教学、案例教学、项目教学等方法，坚持学中做、做中学。</w:t>
      </w:r>
    </w:p>
    <w:p w14:paraId="31C9CDC9">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87" w:name="_Toc3867"/>
      <w:bookmarkStart w:id="88" w:name="_Toc24309"/>
      <w:r>
        <w:rPr>
          <w:rFonts w:hint="eastAsia" w:ascii="楷体" w:hAnsi="楷体" w:eastAsia="楷体" w:cs="楷体"/>
          <w:b/>
          <w:bCs/>
          <w:spacing w:val="-7"/>
          <w:sz w:val="24"/>
          <w:szCs w:val="24"/>
        </w:rPr>
        <w:t>（五）学习评价</w:t>
      </w:r>
      <w:bookmarkEnd w:id="87"/>
      <w:bookmarkEnd w:id="88"/>
    </w:p>
    <w:p w14:paraId="7653D1D7">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 xml:space="preserve">以培养学生岗位能力为核心，校企共同制定学业评价标准。学习评价主体多元化，构建企业、行业协会、学生、老师、家长广泛参与的 </w:t>
      </w:r>
      <w:r>
        <w:rPr>
          <w:rFonts w:hint="eastAsia" w:asciiTheme="minorEastAsia" w:hAnsiTheme="minorEastAsia" w:cstheme="minorEastAsia"/>
          <w:color w:val="auto"/>
          <w:sz w:val="24"/>
          <w:szCs w:val="24"/>
          <w:lang w:val="zh-CN"/>
        </w:rPr>
        <w:t>“五位</w:t>
      </w:r>
      <w:r>
        <w:rPr>
          <w:rFonts w:hint="eastAsia" w:asciiTheme="minorEastAsia" w:hAnsiTheme="minorEastAsia" w:cstheme="minorEastAsia"/>
          <w:color w:val="auto"/>
          <w:sz w:val="24"/>
          <w:szCs w:val="24"/>
        </w:rPr>
        <w:t>一体”多元化学习评价体系。</w:t>
      </w:r>
    </w:p>
    <w:p w14:paraId="0F19FAAA">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以</w:t>
      </w:r>
      <w:r>
        <w:rPr>
          <w:rFonts w:hint="eastAsia" w:asciiTheme="minorEastAsia" w:hAnsiTheme="minorEastAsia" w:cstheme="minorEastAsia"/>
          <w:color w:val="auto"/>
          <w:sz w:val="24"/>
          <w:szCs w:val="24"/>
          <w:lang w:val="zh-CN"/>
        </w:rPr>
        <w:t>“专业</w:t>
      </w:r>
      <w:r>
        <w:rPr>
          <w:rFonts w:hint="eastAsia" w:asciiTheme="minorEastAsia" w:hAnsiTheme="minorEastAsia" w:cstheme="minorEastAsia"/>
          <w:color w:val="auto"/>
          <w:sz w:val="24"/>
          <w:szCs w:val="24"/>
        </w:rPr>
        <w:t>能力、非专业能力"为主要评测要素，将学生日常学习态度、学习表现、知识技能运用规范纳入课程成绩评价范围，同时兼顾学生的自身发展与个性发展，形成过程性评价和终结性评价相结合的学业评价体系。</w:t>
      </w:r>
    </w:p>
    <w:p w14:paraId="2EB6225E">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以1+X证书制度试点要求为基础，将学业考核与证书要求相结合，允许用证书替代一定专业课程成绩或学分，尝试与国家学分银行对接。</w:t>
      </w:r>
    </w:p>
    <w:p w14:paraId="13AD9264">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加大过程考核、实践技能考核成绩在课程总成绩中的比重。过程性评价应从情感态度、职业素养等方面对学生整体学习过程中的表现进行测评；终结性评价应从学生知识点的掌握、技能的熟练程度、完成任务的质量等方面进行评价。要根据课程的特点，注意评价内容的整体性，既要关注学生对知识的理解、技能的掌握和能力的提高，又要重视学生职业素质的养成。</w:t>
      </w:r>
    </w:p>
    <w:p w14:paraId="098FFB17">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以行业、企业评价标准为依据，形成学校与行业、企业专家共同参与学生实践实习环节的评价机制，使学生适应行业、企业的评价方法。</w:t>
      </w:r>
    </w:p>
    <w:p w14:paraId="282D0685">
      <w:pPr>
        <w:keepNext w:val="0"/>
        <w:keepLines w:val="0"/>
        <w:pageBreakBefore w:val="0"/>
        <w:widowControl/>
        <w:kinsoku w:val="0"/>
        <w:wordWrap/>
        <w:overflowPunct/>
        <w:topLinePunct w:val="0"/>
        <w:autoSpaceDE w:val="0"/>
        <w:autoSpaceDN w:val="0"/>
        <w:bidi w:val="0"/>
        <w:adjustRightInd w:val="0"/>
        <w:snapToGrid w:val="0"/>
        <w:spacing w:line="360" w:lineRule="auto"/>
        <w:ind w:left="499"/>
        <w:textAlignment w:val="baseline"/>
        <w:outlineLvl w:val="1"/>
        <w:rPr>
          <w:rFonts w:hint="eastAsia" w:ascii="楷体" w:hAnsi="楷体" w:eastAsia="楷体" w:cs="楷体"/>
          <w:b/>
          <w:bCs/>
          <w:spacing w:val="-7"/>
          <w:sz w:val="24"/>
          <w:szCs w:val="24"/>
        </w:rPr>
      </w:pPr>
      <w:bookmarkStart w:id="89" w:name="_Toc7142"/>
      <w:bookmarkStart w:id="90" w:name="_Toc14900"/>
      <w:r>
        <w:rPr>
          <w:rFonts w:hint="eastAsia" w:ascii="楷体" w:hAnsi="楷体" w:eastAsia="楷体" w:cs="楷体"/>
          <w:b/>
          <w:bCs/>
          <w:spacing w:val="-7"/>
          <w:sz w:val="24"/>
          <w:szCs w:val="24"/>
        </w:rPr>
        <w:t>（六）质量管理</w:t>
      </w:r>
      <w:bookmarkEnd w:id="89"/>
      <w:bookmarkEnd w:id="90"/>
    </w:p>
    <w:p w14:paraId="46A28D73">
      <w:pPr>
        <w:keepNext w:val="0"/>
        <w:keepLines w:val="0"/>
        <w:pageBreakBefore w:val="0"/>
        <w:wordWrap/>
        <w:topLinePunct w:val="0"/>
        <w:bidi w:val="0"/>
        <w:adjustRightInd w:val="0"/>
        <w:spacing w:line="360" w:lineRule="auto"/>
        <w:ind w:firstLine="480" w:firstLineChars="200"/>
        <w:outlineLvl w:val="9"/>
        <w:rPr>
          <w:rFonts w:asciiTheme="minorEastAsia" w:hAnsiTheme="minorEastAsia" w:cstheme="minorEastAsia"/>
          <w:color w:val="auto"/>
          <w:sz w:val="24"/>
          <w:szCs w:val="24"/>
        </w:rPr>
      </w:pPr>
      <w:r>
        <w:rPr>
          <w:rFonts w:hint="eastAsia" w:asciiTheme="minorEastAsia" w:hAnsiTheme="minorEastAsia" w:cstheme="minorEastAsia"/>
          <w:color w:val="auto"/>
          <w:sz w:val="24"/>
          <w:szCs w:val="24"/>
        </w:rPr>
        <w:t>完善教学质量监控保障机制，校、行、企共同制定教学质量考核评价办法、建立教学质量监控保障机制，共同参与教育质量监控、专业教学质量年度报告的统计、编制工作。继续落实学期专业技能展示赛暨教育教学成果汇报家长会活动，“邀家长进校园检验教育教学成果，请企业总监到实训室当考官评教学质量”，教考分离，建立校、企、家多元化的评价机制。</w:t>
      </w:r>
    </w:p>
    <w:p w14:paraId="62141666">
      <w:pPr>
        <w:keepNext w:val="0"/>
        <w:keepLines w:val="0"/>
        <w:pageBreakBefore w:val="0"/>
        <w:widowControl/>
        <w:kinsoku w:val="0"/>
        <w:wordWrap/>
        <w:overflowPunct/>
        <w:topLinePunct w:val="0"/>
        <w:autoSpaceDE w:val="0"/>
        <w:autoSpaceDN w:val="0"/>
        <w:bidi w:val="0"/>
        <w:adjustRightInd w:val="0"/>
        <w:snapToGrid w:val="0"/>
        <w:spacing w:line="360" w:lineRule="auto"/>
        <w:ind w:left="0" w:firstLine="452" w:firstLineChars="200"/>
        <w:textAlignment w:val="baseline"/>
        <w:outlineLvl w:val="0"/>
        <w:rPr>
          <w:rFonts w:hint="eastAsia" w:ascii="黑体" w:hAnsi="黑体" w:eastAsia="黑体" w:cs="黑体"/>
          <w:b w:val="0"/>
          <w:bCs w:val="0"/>
          <w:spacing w:val="-7"/>
          <w:sz w:val="24"/>
          <w:szCs w:val="24"/>
          <w:lang w:val="en-US" w:eastAsia="zh-CN"/>
        </w:rPr>
      </w:pPr>
      <w:bookmarkStart w:id="91" w:name="_Toc123"/>
      <w:bookmarkStart w:id="92" w:name="_Toc31204"/>
      <w:r>
        <w:rPr>
          <w:rFonts w:hint="eastAsia" w:ascii="黑体" w:hAnsi="黑体" w:eastAsia="黑体" w:cs="黑体"/>
          <w:b w:val="0"/>
          <w:bCs w:val="0"/>
          <w:spacing w:val="-7"/>
          <w:sz w:val="24"/>
          <w:szCs w:val="24"/>
          <w:lang w:val="en-US" w:eastAsia="zh-CN"/>
        </w:rPr>
        <w:t>十、毕业要求</w:t>
      </w:r>
      <w:bookmarkEnd w:id="91"/>
      <w:bookmarkEnd w:id="92"/>
    </w:p>
    <w:p w14:paraId="6551C958">
      <w:pPr>
        <w:keepNext w:val="0"/>
        <w:keepLines w:val="0"/>
        <w:pageBreakBefore w:val="0"/>
        <w:wordWrap/>
        <w:topLinePunct w:val="0"/>
        <w:bidi w:val="0"/>
        <w:spacing w:line="360" w:lineRule="auto"/>
        <w:ind w:firstLine="484" w:firstLineChars="200"/>
        <w:outlineLvl w:val="9"/>
      </w:pPr>
      <w:bookmarkStart w:id="93" w:name="_Toc10907"/>
      <w:r>
        <w:rPr>
          <w:rFonts w:hint="eastAsia" w:ascii="宋体" w:hAnsi="宋体" w:eastAsia="宋体" w:cs="宋体"/>
          <w:color w:val="auto"/>
          <w:spacing w:val="1"/>
          <w:sz w:val="24"/>
          <w:szCs w:val="24"/>
        </w:rPr>
        <w:t>学生在规定的学习年限内，修满专业人才培养方案所规定的学时、学分，完成规定的教育教学活动，经考核全部合格，准予毕业。</w:t>
      </w:r>
      <w:bookmarkEnd w:id="93"/>
    </w:p>
    <w:sectPr>
      <w:footerReference r:id="rId6" w:type="default"/>
      <w:pgSz w:w="11906" w:h="16839"/>
      <w:pgMar w:top="1405" w:right="1409" w:bottom="1152" w:left="1424" w:header="0" w:footer="987" w:gutter="0"/>
      <w:pgNumType w:fmt="decimal"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EF92D3">
    <w:pPr>
      <w:tabs>
        <w:tab w:val="left" w:pos="5396"/>
      </w:tabs>
      <w:spacing w:line="169" w:lineRule="auto"/>
      <w:ind w:left="4445"/>
      <w:rPr>
        <w:rFonts w:hint="eastAsia" w:ascii="Calibri" w:hAnsi="Calibri" w:eastAsia="宋体" w:cs="Calibri"/>
        <w:sz w:val="18"/>
        <w:szCs w:val="18"/>
        <w:lang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43C40">
    <w:pPr>
      <w:tabs>
        <w:tab w:val="left" w:pos="5396"/>
      </w:tabs>
      <w:spacing w:line="169" w:lineRule="auto"/>
      <w:ind w:left="4445"/>
      <w:rPr>
        <w:rFonts w:hint="eastAsia" w:ascii="Calibri" w:hAnsi="Calibri" w:eastAsia="宋体" w:cs="Calibri"/>
        <w:sz w:val="18"/>
        <w:szCs w:val="18"/>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A36204">
                          <w:pPr>
                            <w:pStyle w:val="6"/>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A36204">
                    <w:pPr>
                      <w:pStyle w:val="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F2689F"/>
    <w:multiLevelType w:val="singleLevel"/>
    <w:tmpl w:val="B1F2689F"/>
    <w:lvl w:ilvl="0" w:tentative="0">
      <w:start w:val="1"/>
      <w:numFmt w:val="decimal"/>
      <w:lvlText w:val="%1."/>
      <w:lvlJc w:val="left"/>
      <w:pPr>
        <w:tabs>
          <w:tab w:val="left" w:pos="312"/>
        </w:tabs>
      </w:pPr>
    </w:lvl>
  </w:abstractNum>
  <w:abstractNum w:abstractNumId="1">
    <w:nsid w:val="D804D524"/>
    <w:multiLevelType w:val="singleLevel"/>
    <w:tmpl w:val="D804D524"/>
    <w:lvl w:ilvl="0" w:tentative="0">
      <w:start w:val="1"/>
      <w:numFmt w:val="chineseCounting"/>
      <w:suff w:val="nothing"/>
      <w:lvlText w:val="（%1）"/>
      <w:lvlJc w:val="left"/>
      <w:rPr>
        <w:rFonts w:hint="eastAsia"/>
      </w:rPr>
    </w:lvl>
  </w:abstractNum>
  <w:abstractNum w:abstractNumId="2">
    <w:nsid w:val="EE35B2A0"/>
    <w:multiLevelType w:val="singleLevel"/>
    <w:tmpl w:val="EE35B2A0"/>
    <w:lvl w:ilvl="0" w:tentative="0">
      <w:start w:val="1"/>
      <w:numFmt w:val="decimal"/>
      <w:lvlText w:val="%1."/>
      <w:lvlJc w:val="left"/>
      <w:pPr>
        <w:tabs>
          <w:tab w:val="left" w:pos="312"/>
        </w:tabs>
      </w:pPr>
    </w:lvl>
  </w:abstractNum>
  <w:abstractNum w:abstractNumId="3">
    <w:nsid w:val="43BAF9D6"/>
    <w:multiLevelType w:val="singleLevel"/>
    <w:tmpl w:val="43BAF9D6"/>
    <w:lvl w:ilvl="0" w:tentative="0">
      <w:start w:val="1"/>
      <w:numFmt w:val="decimal"/>
      <w:lvlText w:val="%1."/>
      <w:lvlJc w:val="left"/>
      <w:pPr>
        <w:tabs>
          <w:tab w:val="left" w:pos="312"/>
        </w:tabs>
      </w:pPr>
    </w:lvl>
  </w:abstractNum>
  <w:abstractNum w:abstractNumId="4">
    <w:nsid w:val="59A05719"/>
    <w:multiLevelType w:val="singleLevel"/>
    <w:tmpl w:val="59A05719"/>
    <w:lvl w:ilvl="0" w:tentative="0">
      <w:start w:val="1"/>
      <w:numFmt w:val="decimal"/>
      <w:lvlText w:val="%1."/>
      <w:lvlJc w:val="left"/>
      <w:pPr>
        <w:tabs>
          <w:tab w:val="left" w:pos="312"/>
        </w:tabs>
      </w:p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rsids>
    <w:rsidRoot w:val="00000000"/>
    <w:rsid w:val="00F211EF"/>
    <w:rsid w:val="015F1B0A"/>
    <w:rsid w:val="01E06477"/>
    <w:rsid w:val="023B0115"/>
    <w:rsid w:val="040A684F"/>
    <w:rsid w:val="0447637E"/>
    <w:rsid w:val="067612DB"/>
    <w:rsid w:val="0E1C255D"/>
    <w:rsid w:val="0F835F92"/>
    <w:rsid w:val="10EE6860"/>
    <w:rsid w:val="11CE5360"/>
    <w:rsid w:val="12665599"/>
    <w:rsid w:val="132536A6"/>
    <w:rsid w:val="1377657B"/>
    <w:rsid w:val="13D11138"/>
    <w:rsid w:val="1AA749A0"/>
    <w:rsid w:val="1B7075AD"/>
    <w:rsid w:val="1C4849EE"/>
    <w:rsid w:val="1CA05B4B"/>
    <w:rsid w:val="1EA1723B"/>
    <w:rsid w:val="20FB508B"/>
    <w:rsid w:val="21346138"/>
    <w:rsid w:val="21A77AE0"/>
    <w:rsid w:val="229121BE"/>
    <w:rsid w:val="236C49D9"/>
    <w:rsid w:val="24003192"/>
    <w:rsid w:val="27E87B14"/>
    <w:rsid w:val="28AF6D12"/>
    <w:rsid w:val="28FE3486"/>
    <w:rsid w:val="2A1060BE"/>
    <w:rsid w:val="2B6F150A"/>
    <w:rsid w:val="2D2259AF"/>
    <w:rsid w:val="2EB2400B"/>
    <w:rsid w:val="2F587D40"/>
    <w:rsid w:val="314C343E"/>
    <w:rsid w:val="35047A53"/>
    <w:rsid w:val="35FE5964"/>
    <w:rsid w:val="36B442FB"/>
    <w:rsid w:val="375F0685"/>
    <w:rsid w:val="37A54A03"/>
    <w:rsid w:val="383F6B1D"/>
    <w:rsid w:val="38A04ED6"/>
    <w:rsid w:val="3917707D"/>
    <w:rsid w:val="39D67650"/>
    <w:rsid w:val="3B9D6CAC"/>
    <w:rsid w:val="3BC93E8F"/>
    <w:rsid w:val="3C2459F9"/>
    <w:rsid w:val="3E227B84"/>
    <w:rsid w:val="3EC15DF2"/>
    <w:rsid w:val="40B90E06"/>
    <w:rsid w:val="428B450A"/>
    <w:rsid w:val="43061E9E"/>
    <w:rsid w:val="44955C90"/>
    <w:rsid w:val="471F2A33"/>
    <w:rsid w:val="4832149E"/>
    <w:rsid w:val="4D5123C6"/>
    <w:rsid w:val="4E6C1FEA"/>
    <w:rsid w:val="4F067AED"/>
    <w:rsid w:val="53EC1BE1"/>
    <w:rsid w:val="5492326E"/>
    <w:rsid w:val="54E22C26"/>
    <w:rsid w:val="55290ACF"/>
    <w:rsid w:val="553E2636"/>
    <w:rsid w:val="56B62190"/>
    <w:rsid w:val="57127DE2"/>
    <w:rsid w:val="58433087"/>
    <w:rsid w:val="59457283"/>
    <w:rsid w:val="59A4342A"/>
    <w:rsid w:val="5B155702"/>
    <w:rsid w:val="5BF86AF9"/>
    <w:rsid w:val="5CB04569"/>
    <w:rsid w:val="5D0A2B3D"/>
    <w:rsid w:val="5D0E0ADD"/>
    <w:rsid w:val="5F97010C"/>
    <w:rsid w:val="645E0E3C"/>
    <w:rsid w:val="64930C78"/>
    <w:rsid w:val="64B61035"/>
    <w:rsid w:val="659155FE"/>
    <w:rsid w:val="678F3FA1"/>
    <w:rsid w:val="67E61C31"/>
    <w:rsid w:val="69A27DD9"/>
    <w:rsid w:val="6C892DE5"/>
    <w:rsid w:val="6D090170"/>
    <w:rsid w:val="6E96296A"/>
    <w:rsid w:val="6EE073D2"/>
    <w:rsid w:val="70587444"/>
    <w:rsid w:val="710C4966"/>
    <w:rsid w:val="713728C4"/>
    <w:rsid w:val="71ED1C78"/>
    <w:rsid w:val="72EB27F1"/>
    <w:rsid w:val="74B60443"/>
    <w:rsid w:val="75267B11"/>
    <w:rsid w:val="767E572A"/>
    <w:rsid w:val="78512EA0"/>
    <w:rsid w:val="7B16616D"/>
    <w:rsid w:val="7DF12C86"/>
    <w:rsid w:val="7E9F44C8"/>
    <w:rsid w:val="7F0B7D7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3"/>
    <w:basedOn w:val="1"/>
    <w:next w:val="1"/>
    <w:unhideWhenUsed/>
    <w:qFormat/>
    <w:uiPriority w:val="0"/>
    <w:pPr>
      <w:spacing w:line="440" w:lineRule="exact"/>
      <w:ind w:firstLine="480" w:firstLineChars="200"/>
      <w:outlineLvl w:val="2"/>
    </w:pPr>
    <w:rPr>
      <w:rFonts w:eastAsia="黑体"/>
      <w:b/>
    </w:rPr>
  </w:style>
  <w:style w:type="paragraph" w:styleId="3">
    <w:name w:val="heading 4"/>
    <w:basedOn w:val="1"/>
    <w:next w:val="1"/>
    <w:unhideWhenUsed/>
    <w:qFormat/>
    <w:uiPriority w:val="0"/>
    <w:pPr>
      <w:spacing w:line="440" w:lineRule="exact"/>
      <w:ind w:firstLine="640" w:firstLineChars="200"/>
      <w:outlineLvl w:val="3"/>
    </w:pPr>
    <w:rPr>
      <w:rFonts w:ascii="Arial" w:hAnsi="Arial" w:eastAsia="宋体"/>
      <w:b/>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4">
    <w:name w:val="Body Text"/>
    <w:basedOn w:val="1"/>
    <w:semiHidden/>
    <w:qFormat/>
    <w:uiPriority w:val="0"/>
    <w:rPr>
      <w:rFonts w:ascii="宋体" w:hAnsi="宋体" w:eastAsia="宋体" w:cs="宋体"/>
      <w:sz w:val="24"/>
      <w:szCs w:val="24"/>
      <w:lang w:val="en-US" w:eastAsia="en-US" w:bidi="ar-SA"/>
    </w:rPr>
  </w:style>
  <w:style w:type="paragraph" w:styleId="5">
    <w:name w:val="toc 3"/>
    <w:basedOn w:val="1"/>
    <w:next w:val="1"/>
    <w:qFormat/>
    <w:uiPriority w:val="0"/>
    <w:pPr>
      <w:ind w:left="840" w:leftChars="400"/>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qFormat/>
    <w:uiPriority w:val="0"/>
  </w:style>
  <w:style w:type="paragraph" w:styleId="9">
    <w:name w:val="toc 2"/>
    <w:basedOn w:val="1"/>
    <w:next w:val="1"/>
    <w:qFormat/>
    <w:uiPriority w:val="0"/>
    <w:pPr>
      <w:ind w:left="420" w:leftChars="200"/>
    </w:pPr>
  </w:style>
  <w:style w:type="paragraph" w:styleId="10">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4">
    <w:name w:val="Table Normal"/>
    <w:semiHidden/>
    <w:unhideWhenUsed/>
    <w:qFormat/>
    <w:uiPriority w:val="0"/>
    <w:tblPr>
      <w:tblCellMar>
        <w:top w:w="0" w:type="dxa"/>
        <w:left w:w="0" w:type="dxa"/>
        <w:bottom w:w="0" w:type="dxa"/>
        <w:right w:w="0" w:type="dxa"/>
      </w:tblCellMar>
    </w:tblPr>
  </w:style>
  <w:style w:type="paragraph" w:customStyle="1" w:styleId="15">
    <w:name w:val="Table Text"/>
    <w:basedOn w:val="1"/>
    <w:semiHidden/>
    <w:qFormat/>
    <w:uiPriority w:val="0"/>
    <w:rPr>
      <w:rFonts w:ascii="宋体" w:hAnsi="宋体" w:eastAsia="宋体" w:cs="宋体"/>
      <w:sz w:val="24"/>
      <w:szCs w:val="24"/>
      <w:lang w:val="en-US" w:eastAsia="en-US" w:bidi="ar-SA"/>
    </w:rPr>
  </w:style>
  <w:style w:type="paragraph" w:customStyle="1" w:styleId="16">
    <w:name w:val="Table Paragraph"/>
    <w:basedOn w:val="1"/>
    <w:unhideWhenUsed/>
    <w:qFormat/>
    <w:uiPriority w:val="1"/>
    <w:rPr>
      <w:sz w:val="24"/>
    </w:rPr>
  </w:style>
  <w:style w:type="paragraph" w:customStyle="1" w:styleId="17">
    <w:name w:val="表"/>
    <w:basedOn w:val="1"/>
    <w:qFormat/>
    <w:uiPriority w:val="0"/>
    <w:pPr>
      <w:spacing w:line="320" w:lineRule="exact"/>
      <w:jc w:val="center"/>
    </w:pPr>
  </w:style>
  <w:style w:type="paragraph" w:customStyle="1" w:styleId="18">
    <w:name w:val="人培表格"/>
    <w:basedOn w:val="1"/>
    <w:qFormat/>
    <w:uiPriority w:val="0"/>
    <w:pPr>
      <w:spacing w:line="320" w:lineRule="exact"/>
      <w:jc w:val="center"/>
    </w:pPr>
    <w:rPr>
      <w:rFonts w:hint="eastAsia" w:ascii="华文仿宋" w:hAnsi="华文仿宋" w:cs="华文仿宋"/>
      <w:color w:val="000000"/>
    </w:rPr>
  </w:style>
  <w:style w:type="paragraph" w:customStyle="1" w:styleId="19">
    <w:name w:val="人培正文"/>
    <w:basedOn w:val="1"/>
    <w:qFormat/>
    <w:uiPriority w:val="0"/>
    <w:pPr>
      <w:spacing w:line="440" w:lineRule="exact"/>
      <w:ind w:firstLine="480" w:firstLineChars="200"/>
      <w:jc w:val="left"/>
    </w:pPr>
    <w:rPr>
      <w:rFonts w:hint="eastAsia" w:ascii="华文仿宋" w:hAnsi="华文仿宋" w:cs="华文仿宋"/>
      <w:color w:val="000000"/>
    </w:rPr>
  </w:style>
  <w:style w:type="paragraph" w:customStyle="1" w:styleId="20">
    <w:name w:val="人培三级标题"/>
    <w:basedOn w:val="1"/>
    <w:qFormat/>
    <w:uiPriority w:val="0"/>
    <w:pPr>
      <w:spacing w:line="440" w:lineRule="exact"/>
      <w:ind w:firstLine="560" w:firstLineChars="200"/>
    </w:pPr>
    <w:rPr>
      <w:rFonts w:hint="eastAsia" w:ascii="华文仿宋" w:hAnsi="华文仿宋" w:cs="华文仿宋"/>
      <w:b/>
      <w:color w:val="000000"/>
    </w:rPr>
  </w:style>
  <w:style w:type="character" w:customStyle="1" w:styleId="21">
    <w:name w:val="font21"/>
    <w:basedOn w:val="13"/>
    <w:autoRedefine/>
    <w:qFormat/>
    <w:uiPriority w:val="0"/>
    <w:rPr>
      <w:rFonts w:hint="eastAsia" w:ascii="宋体" w:hAnsi="宋体" w:eastAsia="宋体" w:cs="宋体"/>
      <w:color w:val="C00000"/>
      <w:sz w:val="20"/>
      <w:szCs w:val="20"/>
      <w:u w:val="none"/>
    </w:rPr>
  </w:style>
  <w:style w:type="character" w:customStyle="1" w:styleId="22">
    <w:name w:val="font11"/>
    <w:basedOn w:val="13"/>
    <w:qFormat/>
    <w:uiPriority w:val="0"/>
    <w:rPr>
      <w:rFonts w:hint="eastAsia" w:ascii="宋体" w:hAnsi="宋体" w:eastAsia="宋体" w:cs="宋体"/>
      <w:color w:val="000000"/>
      <w:sz w:val="18"/>
      <w:szCs w:val="18"/>
      <w:u w:val="none"/>
    </w:rPr>
  </w:style>
  <w:style w:type="character" w:customStyle="1" w:styleId="23">
    <w:name w:val="font71"/>
    <w:basedOn w:val="13"/>
    <w:qFormat/>
    <w:uiPriority w:val="0"/>
    <w:rPr>
      <w:rFonts w:hint="eastAsia" w:ascii="宋体" w:hAnsi="宋体" w:eastAsia="宋体" w:cs="宋体"/>
      <w:color w:val="000000"/>
      <w:sz w:val="12"/>
      <w:szCs w:val="12"/>
      <w:u w:val="none"/>
    </w:rPr>
  </w:style>
  <w:style w:type="character" w:customStyle="1" w:styleId="24">
    <w:name w:val="font91"/>
    <w:basedOn w:val="13"/>
    <w:qFormat/>
    <w:uiPriority w:val="0"/>
    <w:rPr>
      <w:rFonts w:hint="eastAsia" w:ascii="宋体" w:hAnsi="宋体" w:eastAsia="宋体" w:cs="宋体"/>
      <w:color w:val="000000"/>
      <w:sz w:val="12"/>
      <w:szCs w:val="12"/>
      <w:u w:val="none"/>
    </w:rPr>
  </w:style>
  <w:style w:type="character" w:customStyle="1" w:styleId="25">
    <w:name w:val="font31"/>
    <w:basedOn w:val="13"/>
    <w:qFormat/>
    <w:uiPriority w:val="0"/>
    <w:rPr>
      <w:rFonts w:ascii="Arial" w:hAnsi="Arial" w:cs="Arial"/>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Words>2245</Words>
  <Characters>2357</Characters>
  <TotalTime>1</TotalTime>
  <ScaleCrop>false</ScaleCrop>
  <LinksUpToDate>false</LinksUpToDate>
  <CharactersWithSpaces>2707</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2024-05-21T16:04:00Z</dcterms:created>
  <dc:creator>Blue uub.DU</dc:creator>
  <cp:lastModifiedBy>1</cp:lastModifiedBy>
  <cp:lastPrinted>2025-10-10T00:28:32Z</cp:lastPrinted>
  <dcterms:modified xsi:type="dcterms:W3CDTF">2025-10-10T00:29:06Z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2025-05-28T11:01:49Z</vt:filetime>
  </property>
  <property fmtid="{D5CDD505-2E9C-101B-9397-08002B2CF9AE}" pid="4" name="KSOProductBuildVer">
    <vt:lpwstr>2052-12.1.0.22529</vt:lpwstr>
  </property>
  <property fmtid="{D5CDD505-2E9C-101B-9397-08002B2CF9AE}" pid="5" name="ICV">
    <vt:lpwstr>B2BE93B65A42441F9585A18E8F86CBCD_13</vt:lpwstr>
  </property>
  <property fmtid="{D5CDD505-2E9C-101B-9397-08002B2CF9AE}" pid="6" name="KSOTemplateDocerSaveRecord">
    <vt:lpwstr>eyJoZGlkIjoiN2FiMzI0NjYyZWM2YmRjMzY5NmYxYTFiMWI4NDVkOTIiLCJ1c2VySWQiOiIxNjg4MTY3MTUyIn0=</vt:lpwstr>
  </property>
</Properties>
</file>